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BA" w:rsidRPr="007711D0" w:rsidRDefault="00502EBA" w:rsidP="00502EBA">
      <w:pPr>
        <w:autoSpaceDE w:val="0"/>
        <w:autoSpaceDN w:val="0"/>
        <w:spacing w:line="360" w:lineRule="auto"/>
        <w:ind w:firstLine="709"/>
        <w:jc w:val="both"/>
        <w:rPr>
          <w:b/>
          <w:sz w:val="26"/>
          <w:szCs w:val="26"/>
          <w:lang w:val="uk-UA"/>
        </w:rPr>
      </w:pPr>
      <w:bookmarkStart w:id="0" w:name="_GoBack"/>
      <w:r w:rsidRPr="007711D0">
        <w:rPr>
          <w:b/>
          <w:sz w:val="26"/>
          <w:szCs w:val="26"/>
          <w:lang w:val="uk-UA"/>
        </w:rPr>
        <w:t>3.1.2. Рекреаційний потенціал</w:t>
      </w:r>
    </w:p>
    <w:bookmarkEnd w:id="0"/>
    <w:p w:rsidR="00502EBA" w:rsidRDefault="00502EBA" w:rsidP="00502EBA">
      <w:pPr>
        <w:spacing w:line="360" w:lineRule="auto"/>
        <w:ind w:firstLine="709"/>
        <w:jc w:val="both"/>
        <w:rPr>
          <w:sz w:val="26"/>
          <w:szCs w:val="26"/>
          <w:lang w:val="uk-UA"/>
        </w:rPr>
      </w:pPr>
      <w:r w:rsidRPr="008D16CD">
        <w:rPr>
          <w:sz w:val="26"/>
          <w:szCs w:val="26"/>
          <w:lang w:val="uk-UA"/>
        </w:rPr>
        <w:t>Рекреаційний потенціал території є одним з найбільш значних і слабко</w:t>
      </w:r>
      <w:r w:rsidRPr="00195DF7">
        <w:rPr>
          <w:sz w:val="26"/>
          <w:szCs w:val="26"/>
          <w:lang w:val="uk-UA"/>
        </w:rPr>
        <w:t xml:space="preserve"> використовуваних</w:t>
      </w:r>
      <w:r>
        <w:rPr>
          <w:sz w:val="26"/>
          <w:szCs w:val="26"/>
          <w:lang w:val="uk-UA"/>
        </w:rPr>
        <w:t xml:space="preserve"> видів територіальних ресурсів.</w:t>
      </w:r>
    </w:p>
    <w:p w:rsidR="00502EBA" w:rsidRDefault="00502EBA" w:rsidP="00502EBA">
      <w:pPr>
        <w:spacing w:line="360" w:lineRule="auto"/>
        <w:ind w:firstLine="709"/>
        <w:jc w:val="both"/>
        <w:rPr>
          <w:sz w:val="26"/>
          <w:szCs w:val="26"/>
          <w:lang w:val="uk-UA"/>
        </w:rPr>
      </w:pPr>
    </w:p>
    <w:p w:rsidR="00502EBA" w:rsidRPr="007711D0" w:rsidRDefault="00502EBA" w:rsidP="00502EBA">
      <w:pPr>
        <w:spacing w:line="360" w:lineRule="auto"/>
        <w:jc w:val="center"/>
        <w:rPr>
          <w:i/>
          <w:sz w:val="26"/>
          <w:szCs w:val="26"/>
          <w:lang w:val="uk-UA"/>
        </w:rPr>
      </w:pPr>
      <w:r w:rsidRPr="007711D0">
        <w:rPr>
          <w:i/>
          <w:sz w:val="26"/>
          <w:szCs w:val="26"/>
          <w:lang w:val="uk-UA"/>
        </w:rPr>
        <w:t>Природно-кліматичні умови</w:t>
      </w:r>
    </w:p>
    <w:p w:rsidR="00502EBA" w:rsidRPr="00195DF7" w:rsidRDefault="00502EBA" w:rsidP="00502EBA">
      <w:pPr>
        <w:spacing w:line="360" w:lineRule="auto"/>
        <w:ind w:firstLine="709"/>
        <w:jc w:val="both"/>
        <w:rPr>
          <w:sz w:val="26"/>
          <w:szCs w:val="26"/>
          <w:lang w:val="uk-UA"/>
        </w:rPr>
      </w:pPr>
      <w:r w:rsidRPr="00195DF7">
        <w:rPr>
          <w:sz w:val="26"/>
          <w:szCs w:val="26"/>
          <w:lang w:val="uk-UA"/>
        </w:rPr>
        <w:t>Одноразова місткість пляжних зон півострова становить не менше 200 000 чоловік.</w:t>
      </w:r>
      <w:r>
        <w:rPr>
          <w:sz w:val="26"/>
          <w:szCs w:val="26"/>
          <w:lang w:val="uk-UA"/>
        </w:rPr>
        <w:t xml:space="preserve"> </w:t>
      </w:r>
      <w:r w:rsidRPr="00195DF7">
        <w:rPr>
          <w:sz w:val="26"/>
          <w:szCs w:val="26"/>
          <w:lang w:val="uk-UA"/>
        </w:rPr>
        <w:t xml:space="preserve">Протяжність берегової лінії Ленінського району по Азовському морю становить </w:t>
      </w:r>
      <w:smartTag w:uri="urn:schemas-microsoft-com:office:smarttags" w:element="metricconverter">
        <w:smartTagPr>
          <w:attr w:name="ProductID" w:val="184,9 км"/>
        </w:smartTagPr>
        <w:r w:rsidRPr="00195DF7">
          <w:rPr>
            <w:sz w:val="26"/>
            <w:szCs w:val="26"/>
            <w:lang w:val="uk-UA"/>
          </w:rPr>
          <w:t>184,9 км</w:t>
        </w:r>
      </w:smartTag>
      <w:r w:rsidRPr="00195DF7">
        <w:rPr>
          <w:sz w:val="26"/>
          <w:szCs w:val="26"/>
          <w:lang w:val="uk-UA"/>
        </w:rPr>
        <w:t xml:space="preserve">; по Чорному морю - </w:t>
      </w:r>
      <w:smartTag w:uri="urn:schemas-microsoft-com:office:smarttags" w:element="metricconverter">
        <w:smartTagPr>
          <w:attr w:name="ProductID" w:val="93,8 км"/>
        </w:smartTagPr>
        <w:r w:rsidRPr="00195DF7">
          <w:rPr>
            <w:sz w:val="26"/>
            <w:szCs w:val="26"/>
            <w:lang w:val="uk-UA"/>
          </w:rPr>
          <w:t>93,8 км</w:t>
        </w:r>
      </w:smartTag>
      <w:r w:rsidRPr="00195DF7">
        <w:rPr>
          <w:sz w:val="26"/>
          <w:szCs w:val="26"/>
          <w:lang w:val="uk-UA"/>
        </w:rPr>
        <w:t xml:space="preserve">. </w:t>
      </w:r>
    </w:p>
    <w:p w:rsidR="00502EBA" w:rsidRPr="00195DF7" w:rsidRDefault="00502EBA" w:rsidP="00502EBA">
      <w:pPr>
        <w:spacing w:line="360" w:lineRule="auto"/>
        <w:ind w:firstLine="709"/>
        <w:jc w:val="both"/>
        <w:rPr>
          <w:sz w:val="26"/>
          <w:szCs w:val="26"/>
          <w:lang w:val="uk-UA"/>
        </w:rPr>
      </w:pPr>
      <w:r w:rsidRPr="00195DF7">
        <w:rPr>
          <w:sz w:val="26"/>
          <w:szCs w:val="26"/>
          <w:lang w:val="uk-UA"/>
        </w:rPr>
        <w:t xml:space="preserve">У Ленінському районі розташовані </w:t>
      </w:r>
      <w:r w:rsidRPr="00195DF7">
        <w:rPr>
          <w:i/>
          <w:sz w:val="26"/>
          <w:szCs w:val="26"/>
          <w:lang w:val="uk-UA"/>
        </w:rPr>
        <w:t>5 рекреаційних зон</w:t>
      </w:r>
      <w:r w:rsidRPr="00195DF7">
        <w:rPr>
          <w:sz w:val="26"/>
          <w:szCs w:val="26"/>
          <w:lang w:val="uk-UA"/>
        </w:rPr>
        <w:t xml:space="preserve">: </w:t>
      </w:r>
    </w:p>
    <w:p w:rsidR="00502EBA" w:rsidRPr="00195DF7" w:rsidRDefault="00502EBA" w:rsidP="00502EBA">
      <w:pPr>
        <w:numPr>
          <w:ilvl w:val="0"/>
          <w:numId w:val="1"/>
        </w:numPr>
        <w:spacing w:line="360" w:lineRule="auto"/>
        <w:ind w:left="0" w:firstLine="708"/>
        <w:jc w:val="both"/>
        <w:rPr>
          <w:sz w:val="26"/>
          <w:szCs w:val="26"/>
          <w:lang w:val="uk-UA"/>
        </w:rPr>
      </w:pPr>
      <w:r w:rsidRPr="00195DF7">
        <w:rPr>
          <w:sz w:val="26"/>
          <w:szCs w:val="26"/>
          <w:lang w:val="uk-UA"/>
        </w:rPr>
        <w:t xml:space="preserve">Арабатська стрілка, </w:t>
      </w:r>
    </w:p>
    <w:p w:rsidR="00502EBA" w:rsidRPr="00195DF7" w:rsidRDefault="00502EBA" w:rsidP="00502EBA">
      <w:pPr>
        <w:numPr>
          <w:ilvl w:val="0"/>
          <w:numId w:val="1"/>
        </w:numPr>
        <w:spacing w:line="360" w:lineRule="auto"/>
        <w:ind w:left="0" w:firstLine="708"/>
        <w:jc w:val="both"/>
        <w:rPr>
          <w:sz w:val="26"/>
          <w:szCs w:val="26"/>
          <w:lang w:val="uk-UA"/>
        </w:rPr>
      </w:pPr>
      <w:r w:rsidRPr="00195DF7">
        <w:rPr>
          <w:sz w:val="26"/>
          <w:szCs w:val="26"/>
          <w:lang w:val="uk-UA"/>
        </w:rPr>
        <w:t xml:space="preserve">Казантипська затока, </w:t>
      </w:r>
    </w:p>
    <w:p w:rsidR="00502EBA" w:rsidRPr="00195DF7" w:rsidRDefault="00502EBA" w:rsidP="00502EBA">
      <w:pPr>
        <w:numPr>
          <w:ilvl w:val="0"/>
          <w:numId w:val="1"/>
        </w:numPr>
        <w:spacing w:line="360" w:lineRule="auto"/>
        <w:ind w:left="0" w:firstLine="708"/>
        <w:jc w:val="both"/>
        <w:rPr>
          <w:sz w:val="26"/>
          <w:szCs w:val="26"/>
          <w:lang w:val="uk-UA"/>
        </w:rPr>
      </w:pPr>
      <w:r w:rsidRPr="00195DF7">
        <w:rPr>
          <w:sz w:val="26"/>
          <w:szCs w:val="26"/>
          <w:lang w:val="uk-UA"/>
        </w:rPr>
        <w:t xml:space="preserve">озеро Чокрак, </w:t>
      </w:r>
    </w:p>
    <w:p w:rsidR="00502EBA" w:rsidRPr="00195DF7" w:rsidRDefault="00502EBA" w:rsidP="00502EBA">
      <w:pPr>
        <w:numPr>
          <w:ilvl w:val="0"/>
          <w:numId w:val="1"/>
        </w:numPr>
        <w:spacing w:line="360" w:lineRule="auto"/>
        <w:ind w:left="0" w:firstLine="708"/>
        <w:jc w:val="both"/>
        <w:rPr>
          <w:sz w:val="26"/>
          <w:szCs w:val="26"/>
          <w:lang w:val="uk-UA"/>
        </w:rPr>
      </w:pPr>
      <w:r w:rsidRPr="00195DF7">
        <w:rPr>
          <w:sz w:val="26"/>
          <w:szCs w:val="26"/>
          <w:lang w:val="uk-UA"/>
        </w:rPr>
        <w:t xml:space="preserve">гора Опук, </w:t>
      </w:r>
    </w:p>
    <w:p w:rsidR="00502EBA" w:rsidRPr="00195DF7" w:rsidRDefault="00502EBA" w:rsidP="00502EBA">
      <w:pPr>
        <w:numPr>
          <w:ilvl w:val="0"/>
          <w:numId w:val="1"/>
        </w:numPr>
        <w:spacing w:line="360" w:lineRule="auto"/>
        <w:ind w:left="0" w:firstLine="708"/>
        <w:jc w:val="both"/>
        <w:rPr>
          <w:sz w:val="26"/>
          <w:szCs w:val="26"/>
          <w:lang w:val="uk-UA"/>
        </w:rPr>
      </w:pPr>
      <w:r w:rsidRPr="00195DF7">
        <w:rPr>
          <w:sz w:val="26"/>
          <w:szCs w:val="26"/>
          <w:lang w:val="uk-UA"/>
        </w:rPr>
        <w:t xml:space="preserve">мис Чауда. </w:t>
      </w:r>
    </w:p>
    <w:p w:rsidR="00502EBA" w:rsidRPr="00195DF7" w:rsidRDefault="00502EBA" w:rsidP="00502EBA">
      <w:pPr>
        <w:spacing w:line="360" w:lineRule="auto"/>
        <w:ind w:firstLine="708"/>
        <w:jc w:val="both"/>
        <w:rPr>
          <w:sz w:val="26"/>
          <w:szCs w:val="26"/>
          <w:lang w:val="uk-UA"/>
        </w:rPr>
      </w:pPr>
      <w:r w:rsidRPr="00195DF7">
        <w:rPr>
          <w:sz w:val="26"/>
          <w:szCs w:val="26"/>
          <w:lang w:val="uk-UA"/>
        </w:rPr>
        <w:t xml:space="preserve">Створено </w:t>
      </w:r>
      <w:r w:rsidRPr="00195DF7">
        <w:rPr>
          <w:i/>
          <w:sz w:val="26"/>
          <w:szCs w:val="26"/>
          <w:lang w:val="uk-UA"/>
        </w:rPr>
        <w:t xml:space="preserve">2 природних заповідника – </w:t>
      </w:r>
      <w:r w:rsidRPr="00195DF7">
        <w:rPr>
          <w:sz w:val="26"/>
          <w:szCs w:val="26"/>
          <w:lang w:val="uk-UA"/>
        </w:rPr>
        <w:t xml:space="preserve">Казантипський і Опукський.  </w:t>
      </w:r>
    </w:p>
    <w:p w:rsidR="00502EBA" w:rsidRPr="00195DF7" w:rsidRDefault="00502EBA" w:rsidP="00502EBA">
      <w:pPr>
        <w:spacing w:line="360" w:lineRule="auto"/>
        <w:ind w:firstLine="708"/>
        <w:jc w:val="both"/>
        <w:rPr>
          <w:sz w:val="26"/>
          <w:szCs w:val="26"/>
          <w:lang w:val="uk-UA"/>
        </w:rPr>
      </w:pPr>
      <w:r w:rsidRPr="00195DF7">
        <w:rPr>
          <w:sz w:val="26"/>
          <w:szCs w:val="26"/>
          <w:lang w:val="uk-UA"/>
        </w:rPr>
        <w:t>На території району розташовано: 4 пансіонати, 36 баз відпочинку, 6 дитячих оздоровчих закладів.</w:t>
      </w:r>
    </w:p>
    <w:p w:rsidR="00502EBA" w:rsidRPr="00195DF7" w:rsidRDefault="00502EBA" w:rsidP="00502EBA">
      <w:pPr>
        <w:spacing w:line="360" w:lineRule="auto"/>
        <w:ind w:firstLine="709"/>
        <w:jc w:val="both"/>
        <w:rPr>
          <w:i/>
          <w:sz w:val="26"/>
          <w:szCs w:val="26"/>
          <w:lang w:val="uk-UA"/>
        </w:rPr>
      </w:pPr>
      <w:r w:rsidRPr="00195DF7">
        <w:rPr>
          <w:sz w:val="26"/>
          <w:szCs w:val="26"/>
          <w:lang w:val="uk-UA"/>
        </w:rPr>
        <w:t>В якості природних лікувальних ресурсів виступають сприятливий для відпочинку і лікування клімат, Булганакські сопкові грязі, р</w:t>
      </w:r>
      <w:r>
        <w:rPr>
          <w:sz w:val="26"/>
          <w:szCs w:val="26"/>
          <w:lang w:val="uk-UA"/>
        </w:rPr>
        <w:t>о</w:t>
      </w:r>
      <w:r w:rsidRPr="00195DF7">
        <w:rPr>
          <w:sz w:val="26"/>
          <w:szCs w:val="26"/>
          <w:lang w:val="uk-UA"/>
        </w:rPr>
        <w:t>па, мінеральні води, морська вода.</w:t>
      </w:r>
    </w:p>
    <w:p w:rsidR="00502EBA" w:rsidRPr="00195DF7" w:rsidRDefault="00502EBA" w:rsidP="00502EBA">
      <w:pPr>
        <w:spacing w:line="360" w:lineRule="auto"/>
        <w:ind w:firstLine="709"/>
        <w:jc w:val="both"/>
        <w:rPr>
          <w:i/>
          <w:sz w:val="26"/>
          <w:szCs w:val="26"/>
          <w:lang w:val="uk-UA"/>
        </w:rPr>
      </w:pPr>
      <w:r w:rsidRPr="00195DF7">
        <w:rPr>
          <w:sz w:val="26"/>
          <w:szCs w:val="26"/>
          <w:lang w:val="uk-UA"/>
        </w:rPr>
        <w:t xml:space="preserve">У районі кілька місць із запасами лікувальних грязей (озера Чокрак, Узунларське, Тобечикське, Кояшське), мінеральні грязі Булганакських грязьових сопок багаті метаном і сірководнем. На території Ленінського району відкрито понад 150 мінеральних джерел, зокрема </w:t>
      </w:r>
      <w:r>
        <w:rPr>
          <w:sz w:val="26"/>
          <w:szCs w:val="26"/>
          <w:lang w:val="uk-UA"/>
        </w:rPr>
        <w:t>–</w:t>
      </w:r>
      <w:r w:rsidRPr="00195DF7">
        <w:rPr>
          <w:sz w:val="26"/>
          <w:szCs w:val="26"/>
          <w:lang w:val="uk-UA"/>
        </w:rPr>
        <w:t xml:space="preserve"> Баксінські сірководневі джерела, група вуглекислих джерел «Сєїт-Елі», сірководневе джерело «Каралар».</w:t>
      </w:r>
    </w:p>
    <w:p w:rsidR="00502EBA" w:rsidRPr="00195DF7" w:rsidRDefault="00502EBA" w:rsidP="00502EBA">
      <w:pPr>
        <w:spacing w:line="360" w:lineRule="auto"/>
        <w:ind w:firstLine="709"/>
        <w:jc w:val="both"/>
        <w:rPr>
          <w:sz w:val="26"/>
          <w:szCs w:val="26"/>
          <w:lang w:val="uk-UA"/>
        </w:rPr>
      </w:pPr>
      <w:r w:rsidRPr="00195DF7">
        <w:rPr>
          <w:sz w:val="26"/>
          <w:szCs w:val="26"/>
          <w:lang w:val="uk-UA"/>
        </w:rPr>
        <w:t xml:space="preserve">Згідно постанови Верховної Ради Автономної Республік Крим «Про хід виконання постанови Верховної Ради Автономної Республіки Крим від 20 жовтня 2004 1097-4/04 «Про встановлення меж природних комплексів територій та об'єктів природно-заповідного фонду місцевого значення в Автономній Республіки Крим» від 20.12. 2006 року № 284-5/06, підтверджено </w:t>
      </w:r>
      <w:r w:rsidRPr="00195DF7">
        <w:rPr>
          <w:i/>
          <w:sz w:val="26"/>
          <w:szCs w:val="26"/>
          <w:lang w:val="uk-UA"/>
        </w:rPr>
        <w:t>статус територій та об'єктів природно-заповідного фонду місцевого значення,</w:t>
      </w:r>
      <w:r w:rsidRPr="00195DF7">
        <w:rPr>
          <w:sz w:val="26"/>
          <w:szCs w:val="26"/>
          <w:lang w:val="uk-UA"/>
        </w:rPr>
        <w:t xml:space="preserve"> створених і оголошених </w:t>
      </w:r>
      <w:r w:rsidRPr="00195DF7">
        <w:rPr>
          <w:sz w:val="26"/>
          <w:szCs w:val="26"/>
          <w:lang w:val="uk-UA"/>
        </w:rPr>
        <w:lastRenderedPageBreak/>
        <w:t xml:space="preserve">рішеннями виконавчого комітету Кримської обласної Ради народних депутатів, у тому числі по </w:t>
      </w:r>
      <w:r w:rsidRPr="00BD2473">
        <w:rPr>
          <w:i/>
          <w:sz w:val="26"/>
          <w:szCs w:val="26"/>
          <w:lang w:val="uk-UA"/>
        </w:rPr>
        <w:t>Ленінському району</w:t>
      </w:r>
      <w:r w:rsidRPr="00BD2473">
        <w:rPr>
          <w:sz w:val="26"/>
          <w:szCs w:val="26"/>
          <w:lang w:val="uk-UA"/>
        </w:rPr>
        <w:t>:</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Заказник Караларський (ландшафтний) площа </w:t>
      </w:r>
      <w:smartTag w:uri="urn:schemas-microsoft-com:office:smarttags" w:element="metricconverter">
        <w:smartTagPr>
          <w:attr w:name="ProductID" w:val="5900 га"/>
        </w:smartTagPr>
        <w:r w:rsidRPr="00195DF7">
          <w:rPr>
            <w:sz w:val="26"/>
            <w:szCs w:val="26"/>
            <w:lang w:val="uk-UA"/>
          </w:rPr>
          <w:t>5900 га</w:t>
        </w:r>
      </w:smartTag>
      <w:r w:rsidRPr="00195DF7">
        <w:rPr>
          <w:sz w:val="26"/>
          <w:szCs w:val="26"/>
          <w:lang w:val="uk-UA"/>
        </w:rPr>
        <w:t>, смт. Багерове;</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Заказник Зелене кільце (лісовий) площа </w:t>
      </w:r>
      <w:smartTag w:uri="urn:schemas-microsoft-com:office:smarttags" w:element="metricconverter">
        <w:smartTagPr>
          <w:attr w:name="ProductID" w:val="172 га"/>
        </w:smartTagPr>
        <w:r w:rsidRPr="00195DF7">
          <w:rPr>
            <w:sz w:val="26"/>
            <w:szCs w:val="26"/>
            <w:lang w:val="uk-UA"/>
          </w:rPr>
          <w:t>172 га</w:t>
        </w:r>
      </w:smartTag>
      <w:r w:rsidRPr="00195DF7">
        <w:rPr>
          <w:sz w:val="26"/>
          <w:szCs w:val="26"/>
          <w:lang w:val="uk-UA"/>
        </w:rPr>
        <w:t>, смт. Леніне;</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ПАК біля мису Чауда (гідрологічний), площа </w:t>
      </w:r>
      <w:smartTag w:uri="urn:schemas-microsoft-com:office:smarttags" w:element="metricconverter">
        <w:smartTagPr>
          <w:attr w:name="ProductID" w:val="90 га"/>
        </w:smartTagPr>
        <w:r w:rsidRPr="00195DF7">
          <w:rPr>
            <w:sz w:val="26"/>
            <w:szCs w:val="26"/>
            <w:lang w:val="uk-UA"/>
          </w:rPr>
          <w:t>90 га</w:t>
        </w:r>
      </w:smartTag>
      <w:r w:rsidRPr="00195DF7">
        <w:rPr>
          <w:sz w:val="26"/>
          <w:szCs w:val="26"/>
          <w:lang w:val="uk-UA"/>
        </w:rPr>
        <w:t>;</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ПАК біля мису Карангат (гідрологічний), площа </w:t>
      </w:r>
      <w:smartTag w:uri="urn:schemas-microsoft-com:office:smarttags" w:element="metricconverter">
        <w:smartTagPr>
          <w:attr w:name="ProductID" w:val="150 га"/>
        </w:smartTagPr>
        <w:r w:rsidRPr="00195DF7">
          <w:rPr>
            <w:sz w:val="26"/>
            <w:szCs w:val="26"/>
            <w:lang w:val="uk-UA"/>
          </w:rPr>
          <w:t>150 га</w:t>
        </w:r>
      </w:smartTag>
      <w:r w:rsidRPr="00195DF7">
        <w:rPr>
          <w:sz w:val="26"/>
          <w:szCs w:val="26"/>
          <w:lang w:val="uk-UA"/>
        </w:rPr>
        <w:t>;</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ПАК біля мису Опук і острів "Скелі-кораблі» (гідрологічний), площа </w:t>
      </w:r>
      <w:smartTag w:uri="urn:schemas-microsoft-com:office:smarttags" w:element="metricconverter">
        <w:smartTagPr>
          <w:attr w:name="ProductID" w:val="150 га"/>
        </w:smartTagPr>
        <w:r w:rsidRPr="00195DF7">
          <w:rPr>
            <w:sz w:val="26"/>
            <w:szCs w:val="26"/>
            <w:lang w:val="uk-UA"/>
          </w:rPr>
          <w:t>150 га</w:t>
        </w:r>
      </w:smartTag>
      <w:r w:rsidRPr="00195DF7">
        <w:rPr>
          <w:sz w:val="26"/>
          <w:szCs w:val="26"/>
          <w:lang w:val="uk-UA"/>
        </w:rPr>
        <w:t>, с. Яковенко;</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ПАК біля мису Хроні (гідрологічний), площа </w:t>
      </w:r>
      <w:smartTag w:uri="urn:schemas-microsoft-com:office:smarttags" w:element="metricconverter">
        <w:smartTagPr>
          <w:attr w:name="ProductID" w:val="180 га"/>
        </w:smartTagPr>
        <w:r w:rsidRPr="00195DF7">
          <w:rPr>
            <w:sz w:val="26"/>
            <w:szCs w:val="26"/>
            <w:lang w:val="uk-UA"/>
          </w:rPr>
          <w:t>180 га</w:t>
        </w:r>
      </w:smartTag>
      <w:r w:rsidRPr="00195DF7">
        <w:rPr>
          <w:sz w:val="26"/>
          <w:szCs w:val="26"/>
          <w:lang w:val="uk-UA"/>
        </w:rPr>
        <w:t>, с. С.Осовини;</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ПАК біля мису Казантип (гідрологічний), площа </w:t>
      </w:r>
      <w:smartTag w:uri="urn:schemas-microsoft-com:office:smarttags" w:element="metricconverter">
        <w:smartTagPr>
          <w:attr w:name="ProductID" w:val="240 га"/>
        </w:smartTagPr>
        <w:r w:rsidRPr="00195DF7">
          <w:rPr>
            <w:sz w:val="26"/>
            <w:szCs w:val="26"/>
            <w:lang w:val="uk-UA"/>
          </w:rPr>
          <w:t>240 га</w:t>
        </w:r>
      </w:smartTag>
      <w:r w:rsidRPr="00195DF7">
        <w:rPr>
          <w:sz w:val="26"/>
          <w:szCs w:val="26"/>
          <w:lang w:val="uk-UA"/>
        </w:rPr>
        <w:t>, с. Мисове;</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ПАК у Арабатської стрілки (гідрологічний), площа </w:t>
      </w:r>
      <w:smartTag w:uri="urn:schemas-microsoft-com:office:smarttags" w:element="metricconverter">
        <w:smartTagPr>
          <w:attr w:name="ProductID" w:val="150 га"/>
        </w:smartTagPr>
        <w:r w:rsidRPr="00195DF7">
          <w:rPr>
            <w:sz w:val="26"/>
            <w:szCs w:val="26"/>
            <w:lang w:val="uk-UA"/>
          </w:rPr>
          <w:t>150 га</w:t>
        </w:r>
      </w:smartTag>
      <w:r w:rsidRPr="00195DF7">
        <w:rPr>
          <w:sz w:val="26"/>
          <w:szCs w:val="26"/>
          <w:lang w:val="uk-UA"/>
        </w:rPr>
        <w:t>, с. Кам'янське;</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Мис Чауда (геологічний), площа </w:t>
      </w:r>
      <w:smartTag w:uri="urn:schemas-microsoft-com:office:smarttags" w:element="metricconverter">
        <w:smartTagPr>
          <w:attr w:name="ProductID" w:val="5 га"/>
        </w:smartTagPr>
        <w:r w:rsidRPr="00195DF7">
          <w:rPr>
            <w:sz w:val="26"/>
            <w:szCs w:val="26"/>
            <w:lang w:val="uk-UA"/>
          </w:rPr>
          <w:t>5 га</w:t>
        </w:r>
      </w:smartTag>
      <w:r w:rsidRPr="00195DF7">
        <w:rPr>
          <w:sz w:val="26"/>
          <w:szCs w:val="26"/>
          <w:lang w:val="uk-UA"/>
        </w:rPr>
        <w:t xml:space="preserve"> с. Яскраве;</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Грязьова сопка Андрусова (геологічний), площа </w:t>
      </w:r>
      <w:smartTag w:uri="urn:schemas-microsoft-com:office:smarttags" w:element="metricconverter">
        <w:smartTagPr>
          <w:attr w:name="ProductID" w:val="1 га"/>
        </w:smartTagPr>
        <w:r w:rsidRPr="00195DF7">
          <w:rPr>
            <w:sz w:val="26"/>
            <w:szCs w:val="26"/>
            <w:lang w:val="uk-UA"/>
          </w:rPr>
          <w:t>1 га</w:t>
        </w:r>
      </w:smartTag>
      <w:r w:rsidRPr="00195DF7">
        <w:rPr>
          <w:sz w:val="26"/>
          <w:szCs w:val="26"/>
          <w:lang w:val="uk-UA"/>
        </w:rPr>
        <w:t>, с. Бондаренкове;</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Грязьова сопка Вернадського (геологічний), площа </w:t>
      </w:r>
      <w:smartTag w:uri="urn:schemas-microsoft-com:office:smarttags" w:element="metricconverter">
        <w:smartTagPr>
          <w:attr w:name="ProductID" w:val="1 га"/>
        </w:smartTagPr>
        <w:r w:rsidRPr="00195DF7">
          <w:rPr>
            <w:sz w:val="26"/>
            <w:szCs w:val="26"/>
            <w:lang w:val="uk-UA"/>
          </w:rPr>
          <w:t>1 га</w:t>
        </w:r>
      </w:smartTag>
      <w:r w:rsidRPr="00195DF7">
        <w:rPr>
          <w:sz w:val="26"/>
          <w:szCs w:val="26"/>
          <w:lang w:val="uk-UA"/>
        </w:rPr>
        <w:t>, с. Бондаренкове;</w:t>
      </w:r>
    </w:p>
    <w:p w:rsidR="00502EBA" w:rsidRPr="00195DF7" w:rsidRDefault="00502EBA" w:rsidP="00502EBA">
      <w:pPr>
        <w:numPr>
          <w:ilvl w:val="0"/>
          <w:numId w:val="2"/>
        </w:numPr>
        <w:spacing w:line="360" w:lineRule="auto"/>
        <w:ind w:left="0" w:firstLine="709"/>
        <w:jc w:val="both"/>
        <w:rPr>
          <w:sz w:val="26"/>
          <w:szCs w:val="26"/>
          <w:lang w:val="uk-UA"/>
        </w:rPr>
      </w:pPr>
      <w:r w:rsidRPr="00195DF7">
        <w:rPr>
          <w:sz w:val="26"/>
          <w:szCs w:val="26"/>
          <w:lang w:val="uk-UA"/>
        </w:rPr>
        <w:t xml:space="preserve">Пам'ятник природи Грязьова сопка Обручева (геологічний), площа </w:t>
      </w:r>
      <w:smartTag w:uri="urn:schemas-microsoft-com:office:smarttags" w:element="metricconverter">
        <w:smartTagPr>
          <w:attr w:name="ProductID" w:val="1 га"/>
        </w:smartTagPr>
        <w:r w:rsidRPr="00195DF7">
          <w:rPr>
            <w:sz w:val="26"/>
            <w:szCs w:val="26"/>
            <w:lang w:val="uk-UA"/>
          </w:rPr>
          <w:t>1 га</w:t>
        </w:r>
      </w:smartTag>
      <w:r w:rsidRPr="00195DF7">
        <w:rPr>
          <w:sz w:val="26"/>
          <w:szCs w:val="26"/>
          <w:lang w:val="uk-UA"/>
        </w:rPr>
        <w:t>, с. Бондаренкове.</w:t>
      </w:r>
    </w:p>
    <w:p w:rsidR="00502EBA" w:rsidRDefault="00502EBA" w:rsidP="00502EBA">
      <w:pPr>
        <w:spacing w:line="360" w:lineRule="auto"/>
        <w:ind w:firstLine="709"/>
        <w:jc w:val="both"/>
        <w:rPr>
          <w:sz w:val="26"/>
          <w:szCs w:val="26"/>
          <w:lang w:val="uk-UA"/>
        </w:rPr>
      </w:pPr>
      <w:r w:rsidRPr="00195DF7">
        <w:rPr>
          <w:sz w:val="26"/>
          <w:szCs w:val="26"/>
          <w:lang w:val="uk-UA"/>
        </w:rPr>
        <w:t xml:space="preserve">На базі існуючого заказника місцевого значення «Караларський» створено регіональний ландшафтний парк «Караларський». Загальна площа парку </w:t>
      </w:r>
      <w:smartTag w:uri="urn:schemas-microsoft-com:office:smarttags" w:element="metricconverter">
        <w:smartTagPr>
          <w:attr w:name="ProductID" w:val="6806 га"/>
        </w:smartTagPr>
        <w:r w:rsidRPr="00195DF7">
          <w:rPr>
            <w:sz w:val="26"/>
            <w:szCs w:val="26"/>
            <w:lang w:val="uk-UA"/>
          </w:rPr>
          <w:t>6806 га</w:t>
        </w:r>
      </w:smartTag>
      <w:r w:rsidRPr="00195DF7">
        <w:rPr>
          <w:sz w:val="26"/>
          <w:szCs w:val="26"/>
          <w:lang w:val="uk-UA"/>
        </w:rPr>
        <w:t xml:space="preserve"> (у тому числі сухопутна територія - 6446, територія Азовського моря - 360). Місцезнаходження парку - смт. Багерове, с. Золоте, с. Чистопілля. Територія являє собою виключно цінні зразки типчаково-ковилових степів, що у стані, близькому до природного, і фактично не мають аналогів у Європі.</w:t>
      </w:r>
    </w:p>
    <w:p w:rsidR="00502EBA" w:rsidRDefault="00502EBA" w:rsidP="00502EBA">
      <w:pPr>
        <w:spacing w:line="360" w:lineRule="auto"/>
        <w:ind w:firstLine="709"/>
        <w:jc w:val="both"/>
        <w:rPr>
          <w:sz w:val="26"/>
          <w:szCs w:val="26"/>
          <w:lang w:val="uk-UA"/>
        </w:rPr>
      </w:pPr>
      <w:r w:rsidRPr="00195DF7">
        <w:rPr>
          <w:sz w:val="26"/>
          <w:szCs w:val="26"/>
          <w:lang w:val="uk-UA"/>
        </w:rPr>
        <w:t xml:space="preserve">Міжнародна популярність </w:t>
      </w:r>
      <w:r>
        <w:rPr>
          <w:sz w:val="26"/>
          <w:szCs w:val="26"/>
          <w:lang w:val="uk-UA"/>
        </w:rPr>
        <w:t xml:space="preserve">найближчого </w:t>
      </w:r>
      <w:r w:rsidRPr="00195DF7">
        <w:rPr>
          <w:sz w:val="26"/>
          <w:szCs w:val="26"/>
          <w:lang w:val="uk-UA"/>
        </w:rPr>
        <w:t xml:space="preserve">міста </w:t>
      </w:r>
      <w:r>
        <w:rPr>
          <w:sz w:val="26"/>
          <w:szCs w:val="26"/>
          <w:lang w:val="uk-UA"/>
        </w:rPr>
        <w:t xml:space="preserve">– </w:t>
      </w:r>
      <w:r w:rsidRPr="00195DF7">
        <w:rPr>
          <w:sz w:val="26"/>
          <w:szCs w:val="26"/>
          <w:lang w:val="uk-UA"/>
        </w:rPr>
        <w:t>Керч</w:t>
      </w:r>
      <w:r>
        <w:rPr>
          <w:sz w:val="26"/>
          <w:szCs w:val="26"/>
          <w:lang w:val="uk-UA"/>
        </w:rPr>
        <w:t>і</w:t>
      </w:r>
      <w:r w:rsidRPr="00195DF7">
        <w:rPr>
          <w:sz w:val="26"/>
          <w:szCs w:val="26"/>
          <w:lang w:val="uk-UA"/>
        </w:rPr>
        <w:t xml:space="preserve">, унікальні пам'ятки історії та архітектури, потенціал бальнеологічних ресурсів, м'який клімат, багаті культурні традиції, досвід проведення Міжнародних фестивалів мистецтв </w:t>
      </w:r>
      <w:r w:rsidRPr="00195DF7">
        <w:rPr>
          <w:sz w:val="26"/>
          <w:szCs w:val="26"/>
          <w:lang w:val="uk-UA"/>
        </w:rPr>
        <w:lastRenderedPageBreak/>
        <w:t xml:space="preserve">«Боспорські агони» відкривають перед </w:t>
      </w:r>
      <w:r>
        <w:rPr>
          <w:sz w:val="26"/>
          <w:szCs w:val="26"/>
          <w:lang w:val="uk-UA"/>
        </w:rPr>
        <w:t>районом</w:t>
      </w:r>
      <w:r w:rsidRPr="00195DF7">
        <w:rPr>
          <w:sz w:val="26"/>
          <w:szCs w:val="26"/>
          <w:lang w:val="uk-UA"/>
        </w:rPr>
        <w:t xml:space="preserve"> нові перспективи розвитку курортно-рекреаційного комплексу.</w:t>
      </w:r>
    </w:p>
    <w:p w:rsidR="00502EBA" w:rsidRDefault="00502EBA" w:rsidP="00502EBA">
      <w:pPr>
        <w:autoSpaceDE w:val="0"/>
        <w:autoSpaceDN w:val="0"/>
        <w:spacing w:line="360" w:lineRule="auto"/>
        <w:jc w:val="center"/>
        <w:rPr>
          <w:i/>
          <w:sz w:val="26"/>
          <w:szCs w:val="26"/>
          <w:lang w:val="uk-UA"/>
        </w:rPr>
      </w:pPr>
    </w:p>
    <w:p w:rsidR="00502EBA" w:rsidRPr="00195DF7" w:rsidRDefault="00502EBA" w:rsidP="00502EBA">
      <w:pPr>
        <w:autoSpaceDE w:val="0"/>
        <w:autoSpaceDN w:val="0"/>
        <w:spacing w:line="360" w:lineRule="auto"/>
        <w:jc w:val="center"/>
        <w:rPr>
          <w:i/>
          <w:sz w:val="26"/>
          <w:szCs w:val="26"/>
          <w:lang w:val="uk-UA"/>
        </w:rPr>
      </w:pPr>
      <w:r w:rsidRPr="00195DF7">
        <w:rPr>
          <w:i/>
          <w:sz w:val="26"/>
          <w:szCs w:val="26"/>
          <w:lang w:val="uk-UA"/>
        </w:rPr>
        <w:t>Історико-культурний потенціал</w:t>
      </w:r>
    </w:p>
    <w:p w:rsidR="00502EBA" w:rsidRDefault="00502EBA" w:rsidP="00502EBA">
      <w:pPr>
        <w:autoSpaceDE w:val="0"/>
        <w:autoSpaceDN w:val="0"/>
        <w:spacing w:line="360" w:lineRule="auto"/>
        <w:ind w:firstLine="709"/>
        <w:jc w:val="both"/>
        <w:rPr>
          <w:sz w:val="26"/>
          <w:szCs w:val="26"/>
          <w:lang w:val="uk-UA"/>
        </w:rPr>
      </w:pPr>
      <w:r>
        <w:rPr>
          <w:sz w:val="26"/>
          <w:szCs w:val="26"/>
          <w:lang w:val="uk-UA"/>
        </w:rPr>
        <w:t>На території Ленінського району розташовані п</w:t>
      </w:r>
      <w:r w:rsidRPr="00195DF7">
        <w:rPr>
          <w:sz w:val="26"/>
          <w:szCs w:val="26"/>
          <w:lang w:val="uk-UA"/>
        </w:rPr>
        <w:t>ам'ятки архітектури: Арабатська фортеця (XIII-XVII ст.), Арабатська оборонна смуга (XVI-XVII ст.). Пам'ятки археології: Аккосов (Турецький) вал (I тис. до н.е.), курган Темір-гора (VII ст. До н.е.), городище савроматів (II-III ст. Н. Е..), Городище Китей (IV в. до н. е.. - IV ст. н. е..), городище Акра (IV ст. до н. е.. - I в. зв. е..), городище Куль-Тепе (I-IV ст. н. е..), городище Ілурат (I-III ст. н. е..), поселення Золоте (II-I ст. до н. е..), городище Киммерік (VI ст. до н. е.. - IV ст. н. е..), городище Михайлівське (I ст. до н. е.. - IV ст. н. е..), курган Куль-Оба, курган Кара-Оба, поселення Семенівка (III в. до н. е.. - III в. н. е..).</w:t>
      </w:r>
    </w:p>
    <w:p w:rsidR="00502EBA" w:rsidRPr="00195DF7" w:rsidRDefault="00502EBA" w:rsidP="00502EBA">
      <w:pPr>
        <w:autoSpaceDE w:val="0"/>
        <w:autoSpaceDN w:val="0"/>
        <w:spacing w:line="360" w:lineRule="auto"/>
        <w:ind w:firstLine="709"/>
        <w:jc w:val="both"/>
        <w:rPr>
          <w:sz w:val="26"/>
          <w:szCs w:val="26"/>
          <w:lang w:val="uk-UA"/>
        </w:rPr>
      </w:pPr>
      <w:r w:rsidRPr="00195DF7">
        <w:rPr>
          <w:sz w:val="26"/>
          <w:szCs w:val="26"/>
          <w:lang w:val="uk-UA"/>
        </w:rPr>
        <w:t>Згідно з рейтингом ООН Керч входить до числа 10 найбільш древніх міст світу. Всесвітньо відомі склеп Деметри (I ст. Зв. Е..), Царський курган (IV в. Е.), городища Мірмекій (V ст. До н.е.), Німфей (IV в. Е. ), Пантікапей (VI ст. до н.е.), церква Іоанна Предтечі, якій понад тисячоліття, фортеця Єні-Кале (1703 - 1710 р.р.).</w:t>
      </w:r>
      <w:r>
        <w:rPr>
          <w:sz w:val="26"/>
          <w:szCs w:val="26"/>
          <w:lang w:val="uk-UA"/>
        </w:rPr>
        <w:t xml:space="preserve"> </w:t>
      </w:r>
      <w:r w:rsidRPr="00195DF7">
        <w:rPr>
          <w:sz w:val="26"/>
          <w:szCs w:val="26"/>
          <w:lang w:val="uk-UA"/>
        </w:rPr>
        <w:t>У місті зібрана одна з найкращих лапідарних колекцій світу, налічується 23 пам'ятки археології, 56 пам'ят</w:t>
      </w:r>
      <w:r>
        <w:rPr>
          <w:sz w:val="26"/>
          <w:szCs w:val="26"/>
          <w:lang w:val="uk-UA"/>
        </w:rPr>
        <w:t>о</w:t>
      </w:r>
      <w:r w:rsidRPr="00195DF7">
        <w:rPr>
          <w:sz w:val="26"/>
          <w:szCs w:val="26"/>
          <w:lang w:val="uk-UA"/>
        </w:rPr>
        <w:t xml:space="preserve">к історії та 16 </w:t>
      </w:r>
      <w:r>
        <w:rPr>
          <w:sz w:val="26"/>
          <w:szCs w:val="26"/>
          <w:lang w:val="uk-UA"/>
        </w:rPr>
        <w:t>–</w:t>
      </w:r>
      <w:r w:rsidRPr="00195DF7">
        <w:rPr>
          <w:sz w:val="26"/>
          <w:szCs w:val="26"/>
          <w:lang w:val="uk-UA"/>
        </w:rPr>
        <w:t xml:space="preserve"> архітектури.</w:t>
      </w:r>
    </w:p>
    <w:p w:rsidR="00502EBA" w:rsidRDefault="00502EBA" w:rsidP="00502EBA">
      <w:pPr>
        <w:autoSpaceDE w:val="0"/>
        <w:autoSpaceDN w:val="0"/>
        <w:spacing w:line="360" w:lineRule="auto"/>
        <w:ind w:firstLine="709"/>
        <w:jc w:val="center"/>
        <w:rPr>
          <w:i/>
          <w:sz w:val="26"/>
          <w:szCs w:val="26"/>
          <w:lang w:val="uk-UA"/>
        </w:rPr>
      </w:pPr>
    </w:p>
    <w:p w:rsidR="00502EBA" w:rsidRPr="0009663A" w:rsidRDefault="00502EBA" w:rsidP="00502EBA">
      <w:pPr>
        <w:autoSpaceDE w:val="0"/>
        <w:autoSpaceDN w:val="0"/>
        <w:spacing w:line="360" w:lineRule="auto"/>
        <w:jc w:val="center"/>
        <w:rPr>
          <w:i/>
          <w:sz w:val="26"/>
          <w:szCs w:val="26"/>
          <w:lang w:val="uk-UA"/>
        </w:rPr>
      </w:pPr>
      <w:r w:rsidRPr="0009663A">
        <w:rPr>
          <w:i/>
          <w:sz w:val="26"/>
          <w:szCs w:val="26"/>
          <w:lang w:val="uk-UA"/>
        </w:rPr>
        <w:t>Транс</w:t>
      </w:r>
      <w:r>
        <w:rPr>
          <w:i/>
          <w:sz w:val="26"/>
          <w:szCs w:val="26"/>
          <w:lang w:val="uk-UA"/>
        </w:rPr>
        <w:t>портно-комунікаційний потенціал</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t xml:space="preserve">Пріоритетність транспортно-логістичної функції м. Керч визначається її вузловим географічним положенням в Азовсько-Чорноморському басейні та перспективними планами входження України в систему транскордонних транспортних коридорів. Якщо проаналізувати весь потік вантажів, що йдуть з Європи через Росію до країн Близького і Далекого Сходу (Китай, Індія та </w:t>
      </w:r>
      <w:r>
        <w:rPr>
          <w:sz w:val="26"/>
          <w:szCs w:val="26"/>
          <w:lang w:val="uk-UA"/>
        </w:rPr>
        <w:t>ін.</w:t>
      </w:r>
      <w:r w:rsidRPr="00195DF7">
        <w:rPr>
          <w:sz w:val="26"/>
          <w:szCs w:val="26"/>
          <w:lang w:val="uk-UA"/>
        </w:rPr>
        <w:t xml:space="preserve">), то його щорічний обсяг складають 140-150 млрд. </w:t>
      </w:r>
      <w:r>
        <w:rPr>
          <w:sz w:val="26"/>
          <w:szCs w:val="26"/>
          <w:lang w:val="uk-UA"/>
        </w:rPr>
        <w:t>дол.</w:t>
      </w:r>
      <w:r w:rsidRPr="00195DF7">
        <w:rPr>
          <w:sz w:val="26"/>
          <w:szCs w:val="26"/>
          <w:lang w:val="uk-UA"/>
        </w:rPr>
        <w:t xml:space="preserve"> США. Керч географічно розташована на перехресті більшості торгових шляхів, що ведуть з Європи до Азії</w:t>
      </w:r>
      <w:r>
        <w:rPr>
          <w:sz w:val="26"/>
          <w:szCs w:val="26"/>
          <w:lang w:val="uk-UA"/>
        </w:rPr>
        <w:t>.</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t>Сьогодні в загальному обороті послуг Керчі на транспорт припадає 90,5%. У місті Керч склалася розвинена транспортна інфраструктура, що включає 4 залізничних вузла, 4 морських порти, Державну судноплавну компанію «Керченська поромна переправа», комунальне підприємство «Аеропорт</w:t>
      </w:r>
      <w:r>
        <w:rPr>
          <w:sz w:val="26"/>
          <w:szCs w:val="26"/>
          <w:lang w:val="uk-UA"/>
        </w:rPr>
        <w:t xml:space="preserve"> «Керч</w:t>
      </w:r>
      <w:r w:rsidRPr="00195DF7">
        <w:rPr>
          <w:sz w:val="26"/>
          <w:szCs w:val="26"/>
          <w:lang w:val="uk-UA"/>
        </w:rPr>
        <w:t>».</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lastRenderedPageBreak/>
        <w:t>Значного розвитку отримало морське портове господарство. У 2009 р. у м. Керч перероблено 12138,7 тис. т вантажів. Перевалка вантажів склала 7,6 млн.т, в т.ч. експорт - 3,5 млн. т, імпорт - 0,9 млн. т, транзит вантажів - 3,8 млн.т.</w:t>
      </w:r>
      <w:r w:rsidRPr="00195DF7">
        <w:rPr>
          <w:sz w:val="26"/>
          <w:szCs w:val="26"/>
          <w:lang w:val="uk-UA"/>
        </w:rPr>
        <w:br/>
        <w:t xml:space="preserve">Незначні обсяги перевалки складають каботажні вантажі. Вони перевозяться між портами України на відстань, що не перевищує </w:t>
      </w:r>
      <w:smartTag w:uri="urn:schemas-microsoft-com:office:smarttags" w:element="metricconverter">
        <w:smartTagPr>
          <w:attr w:name="ProductID" w:val="150 км"/>
        </w:smartTagPr>
        <w:r w:rsidRPr="00195DF7">
          <w:rPr>
            <w:sz w:val="26"/>
            <w:szCs w:val="26"/>
            <w:lang w:val="uk-UA"/>
          </w:rPr>
          <w:t>150 км</w:t>
        </w:r>
      </w:smartTag>
      <w:r w:rsidRPr="00195DF7">
        <w:rPr>
          <w:sz w:val="26"/>
          <w:szCs w:val="26"/>
          <w:lang w:val="uk-UA"/>
        </w:rPr>
        <w:t>; понад 54% вантажопотоку припадає на будівельні вантажі. Послугами морського транспорту м. Керчі в 2009 р. скористалися 44,2% пасажирів, перевезених морським транспортом автономії.</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t>На узбережжі Керченської протоки розташовані такі транспортні підприємства: ДП «Керченський морський торговельний порт»; ДП «Керченський морський рибний порт»; ДСК «Керченська п</w:t>
      </w:r>
      <w:r>
        <w:rPr>
          <w:sz w:val="26"/>
          <w:szCs w:val="26"/>
          <w:lang w:val="uk-UA"/>
        </w:rPr>
        <w:t>а</w:t>
      </w:r>
      <w:r w:rsidRPr="00195DF7">
        <w:rPr>
          <w:sz w:val="26"/>
          <w:szCs w:val="26"/>
          <w:lang w:val="uk-UA"/>
        </w:rPr>
        <w:t>ромна переправа»; ДП «ТІС-Крим»; Порт ЗАТ «Камиш-Бурун»; ТОВ «Зерновий терм</w:t>
      </w:r>
      <w:r>
        <w:rPr>
          <w:sz w:val="26"/>
          <w:szCs w:val="26"/>
          <w:lang w:val="uk-UA"/>
        </w:rPr>
        <w:t>інал «АВС»; ТОВ «ТД« Гермес ОЙЛ</w:t>
      </w:r>
      <w:r w:rsidRPr="00195DF7">
        <w:rPr>
          <w:sz w:val="26"/>
          <w:szCs w:val="26"/>
          <w:lang w:val="uk-UA"/>
        </w:rPr>
        <w:t>».</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t>Послугами Керч-Єнікальського каналу, протяжністю 20,9 морських миль, оснащеного сучасним навігаційним обладнанням, користуються понад 140 країн світу. Глибина Керч-Єнікальського каналу (</w:t>
      </w:r>
      <w:smartTag w:uri="urn:schemas-microsoft-com:office:smarttags" w:element="metricconverter">
        <w:smartTagPr>
          <w:attr w:name="ProductID" w:val="9 м"/>
        </w:smartTagPr>
        <w:r w:rsidRPr="00195DF7">
          <w:rPr>
            <w:sz w:val="26"/>
            <w:szCs w:val="26"/>
            <w:lang w:val="uk-UA"/>
          </w:rPr>
          <w:t>9 м</w:t>
        </w:r>
      </w:smartTag>
      <w:r w:rsidRPr="00195DF7">
        <w:rPr>
          <w:sz w:val="26"/>
          <w:szCs w:val="26"/>
          <w:lang w:val="uk-UA"/>
        </w:rPr>
        <w:t>) не дозволяє судам водотоннажністю 50 і більше тис. т (довжина 140-</w:t>
      </w:r>
      <w:smartTag w:uri="urn:schemas-microsoft-com:office:smarttags" w:element="metricconverter">
        <w:smartTagPr>
          <w:attr w:name="ProductID" w:val="200 м"/>
        </w:smartTagPr>
        <w:r w:rsidRPr="00195DF7">
          <w:rPr>
            <w:sz w:val="26"/>
            <w:szCs w:val="26"/>
            <w:lang w:val="uk-UA"/>
          </w:rPr>
          <w:t>200 м</w:t>
        </w:r>
      </w:smartTag>
      <w:r w:rsidRPr="00195DF7">
        <w:rPr>
          <w:sz w:val="26"/>
          <w:szCs w:val="26"/>
          <w:lang w:val="uk-UA"/>
        </w:rPr>
        <w:t>) завантажуватися повністю. Максимальне завантаження будь-якого транспорту, наступного по каналу, не перевищує 25 тис. т, а вартість його проводки становить 3.5 тис. доларів.</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t xml:space="preserve">В даний час перевантаження навалювальних вантажів у Керченській протоці здійснюється на двох якірних стоянках - якірна стоянка № 471 (Україна), яка знаходиться на відстані </w:t>
      </w:r>
      <w:smartTag w:uri="urn:schemas-microsoft-com:office:smarttags" w:element="metricconverter">
        <w:smartTagPr>
          <w:attr w:name="ProductID" w:val="14,6 км"/>
        </w:smartTagPr>
        <w:r w:rsidRPr="00195DF7">
          <w:rPr>
            <w:sz w:val="26"/>
            <w:szCs w:val="26"/>
            <w:lang w:val="uk-UA"/>
          </w:rPr>
          <w:t>14,6 км</w:t>
        </w:r>
      </w:smartTag>
      <w:r w:rsidRPr="00195DF7">
        <w:rPr>
          <w:sz w:val="26"/>
          <w:szCs w:val="26"/>
          <w:lang w:val="uk-UA"/>
        </w:rPr>
        <w:t xml:space="preserve"> від Керченського морського торгового порту, і якірна стоянка № 451 (Росія), що знаходиться більш ніж в </w:t>
      </w:r>
      <w:smartTag w:uri="urn:schemas-microsoft-com:office:smarttags" w:element="metricconverter">
        <w:smartTagPr>
          <w:attr w:name="ProductID" w:val="37 км"/>
        </w:smartTagPr>
        <w:r w:rsidRPr="00195DF7">
          <w:rPr>
            <w:sz w:val="26"/>
            <w:szCs w:val="26"/>
            <w:lang w:val="uk-UA"/>
          </w:rPr>
          <w:t>37 км</w:t>
        </w:r>
      </w:smartTag>
      <w:r w:rsidRPr="00195DF7">
        <w:rPr>
          <w:sz w:val="26"/>
          <w:szCs w:val="26"/>
          <w:lang w:val="uk-UA"/>
        </w:rPr>
        <w:t xml:space="preserve"> від порту Кавказ. У протоці і в передпротоковій (з боку Азовського моря) є також якірні стоянки № 450 (Україна) і № 453, № 455 (Росія), на яких перевантаження не здійснюється.</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t>Досягнення сталого функціонування транспортного переходу через Керченську протоку розглядається як актуальне завдання розширення зовнішньоекономічних зв'язків України з Росією і активного включення України в систему міжнародних транспортних коридорів.</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t>Всі запропоновані проекти технічного оснащення переходу через протоку поділялися на три групи: 1. Спорудження мосту через протоку. 2. Тунельні переходи через протоку. 3. Альтернативні варіанти транспортних переходів</w:t>
      </w:r>
      <w:r>
        <w:rPr>
          <w:sz w:val="26"/>
          <w:szCs w:val="26"/>
          <w:lang w:val="uk-UA"/>
        </w:rPr>
        <w:t xml:space="preserve"> (проекти будівництва полімарані</w:t>
      </w:r>
      <w:r w:rsidRPr="00195DF7">
        <w:rPr>
          <w:sz w:val="26"/>
          <w:szCs w:val="26"/>
          <w:lang w:val="uk-UA"/>
        </w:rPr>
        <w:t xml:space="preserve">в, що мають велику площу палуби і стійкість, </w:t>
      </w:r>
      <w:r w:rsidRPr="00195DF7">
        <w:rPr>
          <w:sz w:val="26"/>
          <w:szCs w:val="26"/>
          <w:lang w:val="uk-UA"/>
        </w:rPr>
        <w:lastRenderedPageBreak/>
        <w:t>будівництво глухий і водозливної греблі, прохід суден без шлюзування і прокладку дв</w:t>
      </w:r>
      <w:r>
        <w:rPr>
          <w:sz w:val="26"/>
          <w:szCs w:val="26"/>
          <w:lang w:val="uk-UA"/>
        </w:rPr>
        <w:t>о</w:t>
      </w:r>
      <w:r w:rsidRPr="00195DF7">
        <w:rPr>
          <w:sz w:val="26"/>
          <w:szCs w:val="26"/>
          <w:lang w:val="uk-UA"/>
        </w:rPr>
        <w:t>хпутно</w:t>
      </w:r>
      <w:r>
        <w:rPr>
          <w:sz w:val="26"/>
          <w:szCs w:val="26"/>
          <w:lang w:val="uk-UA"/>
        </w:rPr>
        <w:t>ї</w:t>
      </w:r>
      <w:r w:rsidRPr="00195DF7">
        <w:rPr>
          <w:sz w:val="26"/>
          <w:szCs w:val="26"/>
          <w:lang w:val="uk-UA"/>
        </w:rPr>
        <w:t xml:space="preserve"> залізної і чотирирядною автодороги по верху греблі).</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t xml:space="preserve">На території Керчі протяжність автомобільних доріг - </w:t>
      </w:r>
      <w:smartTag w:uri="urn:schemas-microsoft-com:office:smarttags" w:element="metricconverter">
        <w:smartTagPr>
          <w:attr w:name="ProductID" w:val="324,9 км"/>
        </w:smartTagPr>
        <w:r w:rsidRPr="00195DF7">
          <w:rPr>
            <w:sz w:val="26"/>
            <w:szCs w:val="26"/>
            <w:lang w:val="uk-UA"/>
          </w:rPr>
          <w:t>324,9 км</w:t>
        </w:r>
      </w:smartTag>
      <w:r w:rsidRPr="00195DF7">
        <w:rPr>
          <w:sz w:val="26"/>
          <w:szCs w:val="26"/>
          <w:lang w:val="uk-UA"/>
        </w:rPr>
        <w:t xml:space="preserve">, з них </w:t>
      </w:r>
      <w:smartTag w:uri="urn:schemas-microsoft-com:office:smarttags" w:element="metricconverter">
        <w:smartTagPr>
          <w:attr w:name="ProductID" w:val="130 км"/>
        </w:smartTagPr>
        <w:r w:rsidRPr="00195DF7">
          <w:rPr>
            <w:sz w:val="26"/>
            <w:szCs w:val="26"/>
            <w:lang w:val="uk-UA"/>
          </w:rPr>
          <w:t>130 км</w:t>
        </w:r>
      </w:smartTag>
      <w:r w:rsidRPr="00195DF7">
        <w:rPr>
          <w:sz w:val="26"/>
          <w:szCs w:val="26"/>
          <w:lang w:val="uk-UA"/>
        </w:rPr>
        <w:t xml:space="preserve"> - дороги магістрального значення та </w:t>
      </w:r>
      <w:smartTag w:uri="urn:schemas-microsoft-com:office:smarttags" w:element="metricconverter">
        <w:smartTagPr>
          <w:attr w:name="ProductID" w:val="194,9 км"/>
        </w:smartTagPr>
        <w:r w:rsidRPr="00195DF7">
          <w:rPr>
            <w:sz w:val="26"/>
            <w:szCs w:val="26"/>
            <w:lang w:val="uk-UA"/>
          </w:rPr>
          <w:t>194,9 км</w:t>
        </w:r>
      </w:smartTag>
      <w:r w:rsidRPr="00195DF7">
        <w:rPr>
          <w:sz w:val="26"/>
          <w:szCs w:val="26"/>
          <w:lang w:val="uk-UA"/>
        </w:rPr>
        <w:t xml:space="preserve"> - місцевого значення. Загальнодержавне значення має траса Сімферополь - Феодосія - Керч (М-17), </w:t>
      </w:r>
      <w:smartTag w:uri="urn:schemas-microsoft-com:office:smarttags" w:element="metricconverter">
        <w:smartTagPr>
          <w:attr w:name="ProductID" w:val="16,2 км"/>
        </w:smartTagPr>
        <w:r w:rsidRPr="00195DF7">
          <w:rPr>
            <w:sz w:val="26"/>
            <w:szCs w:val="26"/>
            <w:lang w:val="uk-UA"/>
          </w:rPr>
          <w:t>16,2 км</w:t>
        </w:r>
      </w:smartTag>
      <w:r w:rsidRPr="00195DF7">
        <w:rPr>
          <w:sz w:val="26"/>
          <w:szCs w:val="26"/>
          <w:lang w:val="uk-UA"/>
        </w:rPr>
        <w:t xml:space="preserve"> якої проходить по території міста. Вона є ділянкою Євроазіатського коридору Е-97.</w:t>
      </w:r>
    </w:p>
    <w:p w:rsidR="00502EBA" w:rsidRDefault="00502EBA" w:rsidP="00502EBA">
      <w:pPr>
        <w:autoSpaceDE w:val="0"/>
        <w:autoSpaceDN w:val="0"/>
        <w:spacing w:line="360" w:lineRule="auto"/>
        <w:ind w:firstLine="709"/>
        <w:jc w:val="both"/>
        <w:rPr>
          <w:sz w:val="26"/>
          <w:szCs w:val="26"/>
          <w:lang w:val="uk-UA"/>
        </w:rPr>
      </w:pPr>
      <w:r w:rsidRPr="00195DF7">
        <w:rPr>
          <w:sz w:val="26"/>
          <w:szCs w:val="26"/>
          <w:lang w:val="uk-UA"/>
        </w:rPr>
        <w:t xml:space="preserve">Загальна протяжність залізниць по місту становить </w:t>
      </w:r>
      <w:smartTag w:uri="urn:schemas-microsoft-com:office:smarttags" w:element="metricconverter">
        <w:smartTagPr>
          <w:attr w:name="ProductID" w:val="117,3 км"/>
        </w:smartTagPr>
        <w:r w:rsidRPr="00195DF7">
          <w:rPr>
            <w:sz w:val="26"/>
            <w:szCs w:val="26"/>
            <w:lang w:val="uk-UA"/>
          </w:rPr>
          <w:t>117,3 км</w:t>
        </w:r>
      </w:smartTag>
      <w:r w:rsidRPr="00195DF7">
        <w:rPr>
          <w:sz w:val="26"/>
          <w:szCs w:val="26"/>
          <w:lang w:val="uk-UA"/>
        </w:rPr>
        <w:t>. До міста підходить гілка Південного відділення Придніпровської залізниці Джанкой - Владиславівка - Керч. На території міста сформовано мережу під'їзних залізничних шляхів, по яких здійснюється транспортування вантажів на великі промислові підприємства і в морські порти.</w:t>
      </w:r>
    </w:p>
    <w:p w:rsidR="00BE43E7" w:rsidRDefault="00BE43E7"/>
    <w:sectPr w:rsidR="00BE4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8618D"/>
    <w:multiLevelType w:val="hybridMultilevel"/>
    <w:tmpl w:val="E8F0C6AE"/>
    <w:lvl w:ilvl="0" w:tplc="A978CCF2">
      <w:start w:val="2013"/>
      <w:numFmt w:val="bullet"/>
      <w:lvlText w:val="-"/>
      <w:lvlJc w:val="left"/>
      <w:pPr>
        <w:ind w:left="1068" w:hanging="360"/>
      </w:pPr>
      <w:rPr>
        <w:rFonts w:ascii="Times New Roman" w:eastAsia="Arial Unicode M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7FA81A83"/>
    <w:multiLevelType w:val="hybridMultilevel"/>
    <w:tmpl w:val="8F620E7A"/>
    <w:lvl w:ilvl="0" w:tplc="FFFFFFFF">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14"/>
    <w:rsid w:val="00502EBA"/>
    <w:rsid w:val="00606914"/>
    <w:rsid w:val="00BE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BA"/>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BA"/>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2013-07-18T09:31:00Z</dcterms:created>
  <dcterms:modified xsi:type="dcterms:W3CDTF">2013-07-18T09:31:00Z</dcterms:modified>
</cp:coreProperties>
</file>