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67" w:rsidRDefault="00C10E67" w:rsidP="00C10E67">
      <w:pPr>
        <w:pStyle w:val="a3"/>
        <w:spacing w:after="0" w:line="360" w:lineRule="auto"/>
        <w:ind w:left="0" w:firstLine="709"/>
        <w:jc w:val="both"/>
        <w:rPr>
          <w:rFonts w:ascii="Times New Roman" w:hAnsi="Times New Roman"/>
          <w:b/>
          <w:sz w:val="26"/>
          <w:szCs w:val="26"/>
          <w:lang w:val="uk-UA"/>
        </w:rPr>
      </w:pPr>
      <w:r>
        <w:rPr>
          <w:rFonts w:ascii="Times New Roman" w:hAnsi="Times New Roman" w:cs="Times New Roman"/>
          <w:b/>
          <w:sz w:val="26"/>
          <w:szCs w:val="26"/>
          <w:lang w:val="uk-UA"/>
        </w:rPr>
        <w:t>3</w:t>
      </w:r>
      <w:r w:rsidRPr="000C0599">
        <w:rPr>
          <w:rFonts w:ascii="Times New Roman" w:hAnsi="Times New Roman" w:cs="Times New Roman"/>
          <w:b/>
          <w:sz w:val="26"/>
          <w:szCs w:val="26"/>
          <w:lang w:val="uk-UA"/>
        </w:rPr>
        <w:t>.1.</w:t>
      </w:r>
      <w:r>
        <w:rPr>
          <w:rFonts w:ascii="Times New Roman" w:hAnsi="Times New Roman" w:cs="Times New Roman"/>
          <w:b/>
          <w:sz w:val="26"/>
          <w:szCs w:val="26"/>
          <w:lang w:val="uk-UA"/>
        </w:rPr>
        <w:t>2</w:t>
      </w:r>
      <w:r w:rsidRPr="000C0599">
        <w:rPr>
          <w:rFonts w:ascii="Times New Roman" w:hAnsi="Times New Roman" w:cs="Times New Roman"/>
          <w:b/>
          <w:sz w:val="26"/>
          <w:szCs w:val="26"/>
          <w:lang w:val="uk-UA"/>
        </w:rPr>
        <w:t xml:space="preserve">. </w:t>
      </w:r>
      <w:r w:rsidRPr="00185D03">
        <w:rPr>
          <w:rFonts w:ascii="Times New Roman" w:hAnsi="Times New Roman"/>
          <w:b/>
          <w:sz w:val="26"/>
          <w:szCs w:val="26"/>
          <w:lang w:val="uk-UA"/>
        </w:rPr>
        <w:t>Передумови реалізації проектів</w:t>
      </w:r>
    </w:p>
    <w:p w:rsidR="00C10E67" w:rsidRPr="00185D03" w:rsidRDefault="00C10E67" w:rsidP="00C10E67">
      <w:pPr>
        <w:pStyle w:val="a3"/>
        <w:spacing w:after="0" w:line="360" w:lineRule="auto"/>
        <w:ind w:left="0" w:firstLine="709"/>
        <w:jc w:val="both"/>
        <w:rPr>
          <w:rFonts w:ascii="Times New Roman" w:hAnsi="Times New Roman" w:cs="Times New Roman"/>
          <w:b/>
          <w:sz w:val="26"/>
          <w:szCs w:val="26"/>
          <w:lang w:val="uk-UA"/>
        </w:rPr>
      </w:pPr>
    </w:p>
    <w:p w:rsidR="00C10E67" w:rsidRDefault="00C10E67" w:rsidP="00C10E67">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 сей час у світі спостерігається поява чисельних проектів створення розумних екологічних міст. Основна кількість таких проектів знаходиться на стадії розробки або запуску. Реалізовані проекти розглядаються, насамперед, як масштабні моделі для міст майбутнього та експериментальні площадки для перевірки можливості і доцільності їх створення. Щодо медичних міст, то у світі успішно реалізовано достатню кількість таких проектів, що доказує їх ефективність і результативність.</w:t>
      </w:r>
    </w:p>
    <w:p w:rsidR="00C10E67" w:rsidRPr="00755890" w:rsidRDefault="00C10E67" w:rsidP="00C10E67">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 xml:space="preserve">Реалізованих проектів розумних екологічних медичних міст на сей час не існує; поєднання двох концептуальних складових – розумне, екологічне та медичне – робить проект створення </w:t>
      </w:r>
      <w:proofErr w:type="spellStart"/>
      <w:r w:rsidRPr="00755890">
        <w:rPr>
          <w:rFonts w:ascii="Times New Roman" w:hAnsi="Times New Roman" w:cs="Times New Roman"/>
          <w:sz w:val="26"/>
          <w:szCs w:val="26"/>
          <w:lang w:val="en-US"/>
        </w:rPr>
        <w:t>InterMedicalEcoCity</w:t>
      </w:r>
      <w:proofErr w:type="spellEnd"/>
      <w:r>
        <w:rPr>
          <w:rFonts w:ascii="Times New Roman" w:hAnsi="Times New Roman" w:cs="Times New Roman"/>
          <w:sz w:val="26"/>
          <w:szCs w:val="26"/>
          <w:lang w:val="uk-UA"/>
        </w:rPr>
        <w:t xml:space="preserve"> унікальним не тільки для України, але й для всього світу.</w:t>
      </w:r>
    </w:p>
    <w:p w:rsidR="00C10E67" w:rsidRDefault="00C10E67" w:rsidP="00C10E67">
      <w:pPr>
        <w:pStyle w:val="a3"/>
        <w:spacing w:after="0" w:line="360" w:lineRule="auto"/>
        <w:ind w:left="0" w:firstLine="709"/>
        <w:jc w:val="both"/>
        <w:rPr>
          <w:rFonts w:ascii="Times New Roman" w:eastAsia="Arial" w:hAnsi="Times New Roman"/>
          <w:sz w:val="26"/>
          <w:szCs w:val="26"/>
          <w:lang w:val="uk-UA"/>
        </w:rPr>
      </w:pPr>
      <w:r w:rsidRPr="00C22CD3">
        <w:rPr>
          <w:rFonts w:ascii="Times New Roman" w:eastAsia="Arial" w:hAnsi="Times New Roman"/>
          <w:i/>
          <w:sz w:val="26"/>
          <w:szCs w:val="26"/>
          <w:lang w:val="uk-UA"/>
        </w:rPr>
        <w:t>Передумови реалізації аналогічних проектів</w:t>
      </w:r>
      <w:r>
        <w:rPr>
          <w:rFonts w:ascii="Times New Roman" w:eastAsia="Arial" w:hAnsi="Times New Roman"/>
          <w:sz w:val="26"/>
          <w:szCs w:val="26"/>
          <w:lang w:val="uk-UA"/>
        </w:rPr>
        <w:t xml:space="preserve">. Основними передумовами створення </w:t>
      </w:r>
      <w:r w:rsidRPr="00C96C9E">
        <w:rPr>
          <w:rFonts w:ascii="Times New Roman" w:eastAsia="Arial" w:hAnsi="Times New Roman"/>
          <w:i/>
          <w:sz w:val="26"/>
          <w:szCs w:val="26"/>
          <w:lang w:val="uk-UA"/>
        </w:rPr>
        <w:t>медичних міст</w:t>
      </w:r>
      <w:r>
        <w:rPr>
          <w:rFonts w:ascii="Times New Roman" w:eastAsia="Arial" w:hAnsi="Times New Roman"/>
          <w:sz w:val="26"/>
          <w:szCs w:val="26"/>
          <w:lang w:val="uk-UA"/>
        </w:rPr>
        <w:t xml:space="preserve"> є:</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розвинена медична (фармацевтична) індустрія країни;</w:t>
      </w:r>
    </w:p>
    <w:p w:rsidR="00C10E67" w:rsidRPr="00A303B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розгалужена система та високий потенціал науково-дослідних медичних інститутів країни;</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у країні новітніх медичних розробок та унікальних лікувальних технологій;</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розгалуженої системи підготовки кадрів для медичної галузі.</w:t>
      </w:r>
    </w:p>
    <w:p w:rsidR="00C10E67" w:rsidRDefault="00C10E67" w:rsidP="00C10E67">
      <w:pPr>
        <w:pStyle w:val="a3"/>
        <w:spacing w:after="0" w:line="360" w:lineRule="auto"/>
        <w:ind w:left="709"/>
        <w:jc w:val="both"/>
        <w:rPr>
          <w:rFonts w:ascii="Times New Roman" w:eastAsia="Arial" w:hAnsi="Times New Roman"/>
          <w:sz w:val="26"/>
          <w:szCs w:val="26"/>
          <w:lang w:val="uk-UA"/>
        </w:rPr>
      </w:pPr>
      <w:r>
        <w:rPr>
          <w:rFonts w:ascii="Times New Roman" w:eastAsia="Arial" w:hAnsi="Times New Roman"/>
          <w:sz w:val="26"/>
          <w:szCs w:val="26"/>
          <w:lang w:val="uk-UA"/>
        </w:rPr>
        <w:t xml:space="preserve">Основними передумовами створення </w:t>
      </w:r>
      <w:r>
        <w:rPr>
          <w:rFonts w:ascii="Times New Roman" w:eastAsia="Arial" w:hAnsi="Times New Roman"/>
          <w:i/>
          <w:sz w:val="26"/>
          <w:szCs w:val="26"/>
          <w:lang w:val="uk-UA"/>
        </w:rPr>
        <w:t xml:space="preserve">розумних екологічних </w:t>
      </w:r>
      <w:r w:rsidRPr="00C96C9E">
        <w:rPr>
          <w:rFonts w:ascii="Times New Roman" w:eastAsia="Arial" w:hAnsi="Times New Roman"/>
          <w:i/>
          <w:sz w:val="26"/>
          <w:szCs w:val="26"/>
          <w:lang w:val="uk-UA"/>
        </w:rPr>
        <w:t>міст</w:t>
      </w:r>
      <w:r>
        <w:rPr>
          <w:rFonts w:ascii="Times New Roman" w:eastAsia="Arial" w:hAnsi="Times New Roman"/>
          <w:sz w:val="26"/>
          <w:szCs w:val="26"/>
          <w:lang w:val="uk-UA"/>
        </w:rPr>
        <w:t xml:space="preserve"> є:</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потреба населення країни у екологічному життєвому просторі;</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високий ризик техногенних та екологічних катастроф;</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ресурсозберігаючих та енергозберігаючих технологій;</w:t>
      </w:r>
    </w:p>
    <w:p w:rsidR="00C10E67"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компаній, що мають досвід застосування ресурсозберігаючих та енергозберігаючих технологій.</w:t>
      </w:r>
    </w:p>
    <w:p w:rsidR="00C10E67" w:rsidRDefault="00C10E67" w:rsidP="00C10E67">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 xml:space="preserve">Основною загальною передумовою реалізації подібних проектів є </w:t>
      </w:r>
      <w:r w:rsidRPr="00A41D16">
        <w:rPr>
          <w:rFonts w:ascii="Times New Roman" w:eastAsia="Arial" w:hAnsi="Times New Roman"/>
          <w:i/>
          <w:sz w:val="26"/>
          <w:szCs w:val="26"/>
          <w:lang w:val="uk-UA"/>
        </w:rPr>
        <w:t>готовність до співпраці</w:t>
      </w:r>
      <w:r>
        <w:rPr>
          <w:rFonts w:ascii="Times New Roman" w:eastAsia="Arial" w:hAnsi="Times New Roman"/>
          <w:sz w:val="26"/>
          <w:szCs w:val="26"/>
          <w:lang w:val="uk-UA"/>
        </w:rPr>
        <w:t xml:space="preserve"> органів влади, громадських організацій, представників бізнес-структур та науковців.</w:t>
      </w:r>
    </w:p>
    <w:p w:rsidR="00C10E67" w:rsidRDefault="00C10E67" w:rsidP="00C10E67">
      <w:pPr>
        <w:spacing w:after="0" w:line="360" w:lineRule="auto"/>
        <w:ind w:firstLine="709"/>
        <w:jc w:val="both"/>
        <w:rPr>
          <w:rFonts w:ascii="Times New Roman" w:eastAsia="Arial" w:hAnsi="Times New Roman"/>
          <w:sz w:val="26"/>
          <w:szCs w:val="26"/>
          <w:lang w:val="uk-UA"/>
        </w:rPr>
      </w:pPr>
      <w:r w:rsidRPr="002C797C">
        <w:rPr>
          <w:rFonts w:ascii="Times New Roman" w:eastAsia="Calibri" w:hAnsi="Times New Roman"/>
          <w:i/>
          <w:sz w:val="26"/>
          <w:szCs w:val="26"/>
          <w:lang w:val="uk-UA"/>
        </w:rPr>
        <w:t>Умов</w:t>
      </w:r>
      <w:r>
        <w:rPr>
          <w:rFonts w:ascii="Times New Roman" w:eastAsia="Calibri" w:hAnsi="Times New Roman"/>
          <w:i/>
          <w:sz w:val="26"/>
          <w:szCs w:val="26"/>
          <w:lang w:val="uk-UA"/>
        </w:rPr>
        <w:t>ам</w:t>
      </w:r>
      <w:r w:rsidRPr="002C797C">
        <w:rPr>
          <w:rFonts w:ascii="Times New Roman" w:eastAsia="Calibri" w:hAnsi="Times New Roman"/>
          <w:i/>
          <w:sz w:val="26"/>
          <w:szCs w:val="26"/>
          <w:lang w:val="uk-UA"/>
        </w:rPr>
        <w:t>и успішного функціонування</w:t>
      </w:r>
      <w:r>
        <w:rPr>
          <w:rFonts w:ascii="Times New Roman" w:eastAsia="Calibri" w:hAnsi="Times New Roman"/>
          <w:i/>
          <w:sz w:val="26"/>
          <w:szCs w:val="26"/>
          <w:lang w:val="uk-UA"/>
        </w:rPr>
        <w:t xml:space="preserve"> медичних міст </w:t>
      </w:r>
      <w:r w:rsidRPr="00F339FA">
        <w:rPr>
          <w:rFonts w:ascii="Times New Roman" w:eastAsia="Calibri" w:hAnsi="Times New Roman"/>
          <w:sz w:val="26"/>
          <w:szCs w:val="26"/>
          <w:lang w:val="uk-UA"/>
        </w:rPr>
        <w:t>є:</w:t>
      </w:r>
    </w:p>
    <w:p w:rsidR="00C10E67" w:rsidRPr="008A3EBE"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lastRenderedPageBreak/>
        <w:t>системність</w:t>
      </w:r>
      <w:r w:rsidRPr="00B30A7F">
        <w:rPr>
          <w:rFonts w:ascii="Times New Roman" w:eastAsia="Calibri" w:hAnsi="Times New Roman"/>
          <w:sz w:val="26"/>
          <w:szCs w:val="26"/>
          <w:lang w:val="uk-UA"/>
        </w:rPr>
        <w:t xml:space="preserve"> вертикальної реінтеграції </w:t>
      </w:r>
      <w:r>
        <w:rPr>
          <w:rFonts w:ascii="Times New Roman" w:eastAsia="Calibri" w:hAnsi="Times New Roman"/>
          <w:sz w:val="26"/>
          <w:szCs w:val="26"/>
          <w:lang w:val="uk-UA"/>
        </w:rPr>
        <w:t>медичних установ, що передбачає сумісну діяльність науково-дослідних, клінічних, амбулаторних та навчальних закладів;</w:t>
      </w:r>
    </w:p>
    <w:p w:rsidR="00C10E67" w:rsidRPr="008A3EBE"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організація співпраці з всесвітньо відомими компаніями та провідними науково-дослідними медичними установами;</w:t>
      </w:r>
    </w:p>
    <w:p w:rsidR="00C10E67" w:rsidRPr="008A3EBE"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державна підтримка, зокрема, державне</w:t>
      </w:r>
      <w:r w:rsidRPr="00B30A7F">
        <w:rPr>
          <w:rFonts w:ascii="Times New Roman" w:eastAsia="Calibri" w:hAnsi="Times New Roman"/>
          <w:sz w:val="26"/>
          <w:szCs w:val="26"/>
          <w:lang w:val="uk-UA"/>
        </w:rPr>
        <w:t xml:space="preserve"> початкове фінансування</w:t>
      </w:r>
      <w:r>
        <w:rPr>
          <w:rFonts w:ascii="Times New Roman" w:eastAsia="Calibri" w:hAnsi="Times New Roman"/>
          <w:sz w:val="26"/>
          <w:szCs w:val="26"/>
          <w:lang w:val="uk-UA"/>
        </w:rPr>
        <w:t xml:space="preserve"> та державні гарантії щодо </w:t>
      </w:r>
      <w:r w:rsidRPr="00B30A7F">
        <w:rPr>
          <w:rFonts w:ascii="Times New Roman" w:eastAsia="Calibri" w:hAnsi="Times New Roman"/>
          <w:sz w:val="26"/>
          <w:szCs w:val="26"/>
          <w:lang w:val="uk-UA"/>
        </w:rPr>
        <w:t>захист</w:t>
      </w:r>
      <w:r>
        <w:rPr>
          <w:rFonts w:ascii="Times New Roman" w:eastAsia="Calibri" w:hAnsi="Times New Roman"/>
          <w:sz w:val="26"/>
          <w:szCs w:val="26"/>
          <w:lang w:val="uk-UA"/>
        </w:rPr>
        <w:t>у</w:t>
      </w:r>
      <w:r w:rsidRPr="00B30A7F">
        <w:rPr>
          <w:rFonts w:ascii="Times New Roman" w:eastAsia="Calibri" w:hAnsi="Times New Roman"/>
          <w:sz w:val="26"/>
          <w:szCs w:val="26"/>
          <w:lang w:val="uk-UA"/>
        </w:rPr>
        <w:t xml:space="preserve"> інтелектуальної власності</w:t>
      </w:r>
      <w:r>
        <w:rPr>
          <w:rFonts w:ascii="Times New Roman" w:eastAsia="Calibri" w:hAnsi="Times New Roman"/>
          <w:sz w:val="26"/>
          <w:szCs w:val="26"/>
          <w:lang w:val="uk-UA"/>
        </w:rPr>
        <w:t>;</w:t>
      </w:r>
    </w:p>
    <w:p w:rsidR="00C10E67" w:rsidRPr="008A3EBE" w:rsidRDefault="00C10E67" w:rsidP="00C10E67">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 xml:space="preserve">організація співпраці із благодійними фондами та асоціаціями, зокрема, часткового </w:t>
      </w:r>
      <w:r w:rsidRPr="00B30A7F">
        <w:rPr>
          <w:rFonts w:ascii="Times New Roman" w:eastAsia="Calibri" w:hAnsi="Times New Roman"/>
          <w:sz w:val="26"/>
          <w:szCs w:val="26"/>
          <w:lang w:val="uk-UA"/>
        </w:rPr>
        <w:t>фінансування</w:t>
      </w:r>
      <w:r>
        <w:rPr>
          <w:rFonts w:ascii="Times New Roman" w:eastAsia="Calibri" w:hAnsi="Times New Roman"/>
          <w:sz w:val="26"/>
          <w:szCs w:val="26"/>
          <w:lang w:val="uk-UA"/>
        </w:rPr>
        <w:t xml:space="preserve"> наукових досліджень та часткової оплати перебування на лікуванні для малозабезпечених верств населення;</w:t>
      </w:r>
    </w:p>
    <w:p w:rsidR="00C10E67" w:rsidRDefault="00C10E67" w:rsidP="00C10E67">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необхідних умов для професійної діяльності фахівців світового рівню та забезпечення життєдіяльності молодих талановитих фахівців та їх сімей;</w:t>
      </w:r>
    </w:p>
    <w:p w:rsidR="00C10E67" w:rsidRDefault="00C10E67" w:rsidP="00C10E67">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комфортних умов для пацієнтів та тих, хто їх супроводжує;</w:t>
      </w:r>
    </w:p>
    <w:p w:rsidR="00C10E67" w:rsidRDefault="00C10E67" w:rsidP="00C10E67">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широкого міжнародного попиту на медичні послуги завдяки системі інформування та вільного доступу до міста.</w:t>
      </w:r>
    </w:p>
    <w:p w:rsidR="00C10E67" w:rsidRPr="002C3B9A" w:rsidRDefault="00C10E67" w:rsidP="00C10E67">
      <w:pPr>
        <w:pStyle w:val="a3"/>
        <w:spacing w:after="0" w:line="360" w:lineRule="auto"/>
        <w:ind w:left="0" w:firstLine="709"/>
        <w:jc w:val="both"/>
        <w:rPr>
          <w:rFonts w:ascii="Times New Roman" w:eastAsia="Arial" w:hAnsi="Times New Roman"/>
          <w:sz w:val="26"/>
          <w:szCs w:val="26"/>
          <w:lang w:val="uk-UA"/>
        </w:rPr>
      </w:pPr>
      <w:r w:rsidRPr="002C3B9A">
        <w:rPr>
          <w:rFonts w:ascii="Times New Roman" w:eastAsia="Calibri" w:hAnsi="Times New Roman"/>
          <w:i/>
          <w:sz w:val="26"/>
          <w:szCs w:val="26"/>
          <w:lang w:val="uk-UA"/>
        </w:rPr>
        <w:t xml:space="preserve">Умовами успішного </w:t>
      </w:r>
      <w:r>
        <w:rPr>
          <w:rFonts w:ascii="Times New Roman" w:eastAsia="Calibri" w:hAnsi="Times New Roman"/>
          <w:i/>
          <w:sz w:val="26"/>
          <w:szCs w:val="26"/>
          <w:lang w:val="uk-UA"/>
        </w:rPr>
        <w:t>створення</w:t>
      </w:r>
      <w:r w:rsidRPr="002C3B9A">
        <w:rPr>
          <w:rFonts w:ascii="Times New Roman" w:eastAsia="Calibri" w:hAnsi="Times New Roman"/>
          <w:i/>
          <w:sz w:val="26"/>
          <w:szCs w:val="26"/>
          <w:lang w:val="uk-UA"/>
        </w:rPr>
        <w:t xml:space="preserve"> </w:t>
      </w:r>
      <w:r>
        <w:rPr>
          <w:rFonts w:ascii="Times New Roman" w:eastAsia="Calibri" w:hAnsi="Times New Roman"/>
          <w:i/>
          <w:sz w:val="26"/>
          <w:szCs w:val="26"/>
          <w:lang w:val="uk-UA"/>
        </w:rPr>
        <w:t>розумних екологічних</w:t>
      </w:r>
      <w:r w:rsidRPr="002C3B9A">
        <w:rPr>
          <w:rFonts w:ascii="Times New Roman" w:eastAsia="Calibri" w:hAnsi="Times New Roman"/>
          <w:i/>
          <w:sz w:val="26"/>
          <w:szCs w:val="26"/>
          <w:lang w:val="uk-UA"/>
        </w:rPr>
        <w:t xml:space="preserve"> міст </w:t>
      </w:r>
      <w:r w:rsidRPr="002C3B9A">
        <w:rPr>
          <w:rFonts w:ascii="Times New Roman" w:eastAsia="Calibri" w:hAnsi="Times New Roman"/>
          <w:sz w:val="26"/>
          <w:szCs w:val="26"/>
          <w:lang w:val="uk-UA"/>
        </w:rPr>
        <w:t>є:</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детальна розробка концепції міста, зокрема, його функціонального призначення і спеціалізації; відповідність концепції і архітектурно-планувальних, містобудівних та технологічних рішень;</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співпраця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дотримання норм екологічності в забезпеченні електроенергією, іншими ресурсами, в будівництві та транспортних рішеннях;</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поєднання технологічних і соціальних новітніх технологій, соціальна підготовка та соціальна адаптація населення, реклама та підтримка екологічного стилю життя;</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державне фінансування створення базової інфраструктури та частини функціональної інфраструктури, зокрема, більшості будівель без внутрішнього облаштування;</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державне рішення про виділення земель та надання податкових пільг або створення вільної економічної зони для основних комерційних учасників проекту;</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державні гарантії щодо захисту власності, в тому числі інтелектуальної;</w:t>
      </w:r>
    </w:p>
    <w:p w:rsidR="00C10E67" w:rsidRDefault="00C10E67" w:rsidP="00C10E67">
      <w:pPr>
        <w:pStyle w:val="a3"/>
        <w:widowControl w:val="0"/>
        <w:numPr>
          <w:ilvl w:val="0"/>
          <w:numId w:val="2"/>
        </w:numPr>
        <w:spacing w:after="0" w:line="36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розробка правил </w:t>
      </w:r>
      <w:r>
        <w:rPr>
          <w:rFonts w:ascii="Times New Roman" w:eastAsia="Arial" w:hAnsi="Times New Roman"/>
          <w:sz w:val="26"/>
          <w:szCs w:val="26"/>
          <w:lang w:val="uk-UA"/>
        </w:rPr>
        <w:t>і принципів планування, проектування і будівництва у місті; умов</w:t>
      </w:r>
      <w:r>
        <w:rPr>
          <w:rFonts w:ascii="Times New Roman" w:hAnsi="Times New Roman" w:cs="Times New Roman"/>
          <w:sz w:val="26"/>
          <w:szCs w:val="26"/>
          <w:lang w:val="uk-UA"/>
        </w:rPr>
        <w:t xml:space="preserve"> надання державних субсидій для придбання житла або земельних ділянок.</w:t>
      </w:r>
    </w:p>
    <w:p w:rsidR="00C10E67" w:rsidRDefault="00C10E67" w:rsidP="00C10E67">
      <w:pPr>
        <w:pStyle w:val="a3"/>
        <w:widowControl w:val="0"/>
        <w:spacing w:after="0" w:line="360" w:lineRule="auto"/>
        <w:ind w:left="709"/>
        <w:jc w:val="both"/>
        <w:rPr>
          <w:rFonts w:ascii="Times New Roman" w:eastAsia="Calibri" w:hAnsi="Times New Roman"/>
          <w:sz w:val="26"/>
          <w:szCs w:val="26"/>
          <w:lang w:val="uk-UA"/>
        </w:rPr>
      </w:pPr>
      <w:r w:rsidRPr="00055088">
        <w:rPr>
          <w:rFonts w:ascii="Times New Roman" w:eastAsia="Calibri" w:hAnsi="Times New Roman"/>
          <w:i/>
          <w:sz w:val="26"/>
          <w:szCs w:val="26"/>
          <w:lang w:val="uk-UA"/>
        </w:rPr>
        <w:t>Позитивними результатами створення медичних міст</w:t>
      </w:r>
      <w:r>
        <w:rPr>
          <w:rFonts w:ascii="Times New Roman" w:eastAsia="Calibri" w:hAnsi="Times New Roman"/>
          <w:sz w:val="26"/>
          <w:szCs w:val="26"/>
          <w:lang w:val="uk-UA"/>
        </w:rPr>
        <w:t xml:space="preserve"> є:</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підвищення іміджу країни, збільшення обсягів інвестицій та приток висококваліфікованих кадрів;</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подальший прискорений розвиток </w:t>
      </w:r>
      <w:r w:rsidRPr="000D0698">
        <w:rPr>
          <w:rFonts w:ascii="Times New Roman" w:eastAsia="Calibri" w:hAnsi="Times New Roman"/>
          <w:sz w:val="26"/>
          <w:szCs w:val="26"/>
          <w:lang w:val="uk-UA"/>
        </w:rPr>
        <w:t>медичної індустрії</w:t>
      </w:r>
      <w:r>
        <w:rPr>
          <w:rFonts w:ascii="Times New Roman" w:eastAsia="Calibri" w:hAnsi="Times New Roman"/>
          <w:sz w:val="26"/>
          <w:szCs w:val="26"/>
          <w:lang w:val="uk-UA"/>
        </w:rPr>
        <w:t xml:space="preserve"> за рахунок організації міжнародної співпраці;</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прискорений розвиток медичної і туристично-рекреаційної галузей за рахунок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медичних та </w:t>
      </w:r>
      <w:r w:rsidRPr="00B30A7F">
        <w:rPr>
          <w:rFonts w:ascii="Times New Roman" w:eastAsia="Calibri" w:hAnsi="Times New Roman"/>
          <w:sz w:val="26"/>
          <w:szCs w:val="26"/>
          <w:lang w:val="uk-UA"/>
        </w:rPr>
        <w:t>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вихід на міжнародний медичний ринок, відкриття представництв та науково-дослідних центрів на території інших країн;</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подальший розвиток системи освіти і високий рівень підготовки вітчизняних фахівців;</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розвитку території реалізації проекту із довготривалим ефектом; збільшення обсягів бюджетних надходжень за рахунок обслуговування великої кількості іноземних та вітчизняних пацієнтів.</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sidRPr="00055088">
        <w:rPr>
          <w:rFonts w:ascii="Times New Roman" w:eastAsia="Calibri" w:hAnsi="Times New Roman"/>
          <w:i/>
          <w:sz w:val="26"/>
          <w:szCs w:val="26"/>
          <w:lang w:val="uk-UA"/>
        </w:rPr>
        <w:t xml:space="preserve">Позитивними результатами </w:t>
      </w:r>
      <w:r>
        <w:rPr>
          <w:rFonts w:ascii="Times New Roman" w:eastAsia="Calibri" w:hAnsi="Times New Roman"/>
          <w:i/>
          <w:sz w:val="26"/>
          <w:szCs w:val="26"/>
          <w:lang w:val="uk-UA"/>
        </w:rPr>
        <w:t>і очікуваними ефектами с</w:t>
      </w:r>
      <w:r w:rsidRPr="00055088">
        <w:rPr>
          <w:rFonts w:ascii="Times New Roman" w:eastAsia="Calibri" w:hAnsi="Times New Roman"/>
          <w:i/>
          <w:sz w:val="26"/>
          <w:szCs w:val="26"/>
          <w:lang w:val="uk-UA"/>
        </w:rPr>
        <w:t xml:space="preserve">творення </w:t>
      </w:r>
      <w:r>
        <w:rPr>
          <w:rFonts w:ascii="Times New Roman" w:eastAsia="Calibri" w:hAnsi="Times New Roman"/>
          <w:i/>
          <w:sz w:val="26"/>
          <w:szCs w:val="26"/>
          <w:lang w:val="uk-UA"/>
        </w:rPr>
        <w:t>розумних екологічних</w:t>
      </w:r>
      <w:r w:rsidRPr="00055088">
        <w:rPr>
          <w:rFonts w:ascii="Times New Roman" w:eastAsia="Calibri" w:hAnsi="Times New Roman"/>
          <w:i/>
          <w:sz w:val="26"/>
          <w:szCs w:val="26"/>
          <w:lang w:val="uk-UA"/>
        </w:rPr>
        <w:t xml:space="preserve"> міст</w:t>
      </w:r>
      <w:r>
        <w:rPr>
          <w:rFonts w:ascii="Times New Roman" w:eastAsia="Calibri" w:hAnsi="Times New Roman"/>
          <w:sz w:val="26"/>
          <w:szCs w:val="26"/>
          <w:lang w:val="uk-UA"/>
        </w:rPr>
        <w:t xml:space="preserve"> є:</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підвищення іміджу країни, збільшення обсягів інвестицій та приток висококваліфікованих кадрів, що спеціалізуються в галузі ресурсозберігаючих, енергозберігаючих, ІТ технологій;</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прискорений розвиток будівельної, енергетичної, транспортної, ІТ галузей</w:t>
      </w:r>
      <w:r w:rsidRPr="00A71E73">
        <w:rPr>
          <w:rFonts w:ascii="Times New Roman" w:eastAsia="Calibri" w:hAnsi="Times New Roman"/>
          <w:sz w:val="26"/>
          <w:szCs w:val="26"/>
          <w:lang w:val="uk-UA"/>
        </w:rPr>
        <w:t xml:space="preserve"> </w:t>
      </w:r>
      <w:r>
        <w:rPr>
          <w:rFonts w:ascii="Times New Roman" w:eastAsia="Calibri" w:hAnsi="Times New Roman"/>
          <w:sz w:val="26"/>
          <w:szCs w:val="26"/>
          <w:lang w:val="uk-UA"/>
        </w:rPr>
        <w:t>за рахунок організації міжнародної співпраці</w:t>
      </w:r>
      <w:r w:rsidRPr="00A71E73">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та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встановлення партнерських відносин з провідними світовими </w:t>
      </w:r>
      <w:r>
        <w:rPr>
          <w:rFonts w:ascii="Times New Roman" w:eastAsia="Calibri" w:hAnsi="Times New Roman"/>
          <w:sz w:val="26"/>
          <w:szCs w:val="26"/>
          <w:lang w:val="uk-UA"/>
        </w:rPr>
        <w:lastRenderedPageBreak/>
        <w:t>компаніями, що спеціалізуються в галузі ресурсозберігаючих, енергозберігаючих, ІТ технологій;</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економія і ефективне використання природних ресурсів;</w:t>
      </w:r>
    </w:p>
    <w:p w:rsidR="00C10E67" w:rsidRPr="00556326"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забезпечення </w:t>
      </w:r>
      <w:r>
        <w:rPr>
          <w:rFonts w:ascii="Times New Roman" w:eastAsia="Arial" w:hAnsi="Times New Roman"/>
          <w:sz w:val="26"/>
          <w:szCs w:val="26"/>
          <w:lang w:val="uk-UA"/>
        </w:rPr>
        <w:t>екологічної стійкості та незалежності життєзабезпечення міст в країні;</w:t>
      </w:r>
    </w:p>
    <w:p w:rsidR="00C10E67" w:rsidRPr="00DB0954"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Arial" w:hAnsi="Times New Roman"/>
          <w:sz w:val="26"/>
          <w:szCs w:val="26"/>
          <w:lang w:val="uk-UA"/>
        </w:rPr>
        <w:t>екологічна освіта населення, впровадження здорового стилю життя; зменшення показників захворюваності і смертності населення;</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Arial" w:hAnsi="Times New Roman"/>
          <w:sz w:val="26"/>
          <w:szCs w:val="26"/>
          <w:lang w:val="uk-UA"/>
        </w:rPr>
        <w:t>зниження ризику техногенних та екологічних катастроф і мінімізація їх негативних наслідків;</w:t>
      </w:r>
    </w:p>
    <w:p w:rsidR="00C10E67" w:rsidRDefault="00C10E67" w:rsidP="00C10E67">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розвитку території реалізації проекту із довготривалим ефектом; збільшення обсягів бюджетних надходжень.</w:t>
      </w:r>
    </w:p>
    <w:p w:rsidR="00C10E67" w:rsidRDefault="00C10E67" w:rsidP="00C10E67">
      <w:pPr>
        <w:pStyle w:val="a3"/>
        <w:widowControl w:val="0"/>
        <w:spacing w:after="0" w:line="360" w:lineRule="auto"/>
        <w:ind w:left="0"/>
        <w:jc w:val="center"/>
        <w:rPr>
          <w:rFonts w:ascii="Times New Roman" w:eastAsia="Calibri" w:hAnsi="Times New Roman"/>
          <w:sz w:val="26"/>
          <w:szCs w:val="26"/>
          <w:lang w:val="uk-UA"/>
        </w:rPr>
      </w:pPr>
      <w:r w:rsidRPr="003471B7">
        <w:rPr>
          <w:rFonts w:ascii="Times New Roman" w:eastAsia="Calibri" w:hAnsi="Times New Roman"/>
          <w:i/>
          <w:sz w:val="26"/>
          <w:szCs w:val="26"/>
          <w:lang w:val="uk-UA"/>
        </w:rPr>
        <w:t>Технологічні рішення</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sidRPr="0099783E">
        <w:rPr>
          <w:rFonts w:ascii="Times New Roman" w:eastAsia="Calibri" w:hAnsi="Times New Roman"/>
          <w:i/>
          <w:sz w:val="26"/>
          <w:szCs w:val="26"/>
          <w:lang w:val="uk-UA"/>
        </w:rPr>
        <w:t>Енергоефективність.</w:t>
      </w:r>
      <w:r>
        <w:rPr>
          <w:rFonts w:ascii="Times New Roman" w:eastAsia="Calibri" w:hAnsi="Times New Roman"/>
          <w:sz w:val="26"/>
          <w:szCs w:val="26"/>
          <w:lang w:val="uk-UA"/>
        </w:rPr>
        <w:t xml:space="preserve"> Головною задачею при проектуванні розумного екологічного міста є забезпечення його енергоефективності – тобто мінімізації використання енергії із одночасним підтриманням необхідного рівня енергозабезпечення технологічних процесів та будівель.</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Вирішення цього завдання в масштабі міста досягається, насамперед, шляхом розробки і впровадження спеціалізованих архітектурно-планувальних та містобудівних рішень, що відповідають конкретним природно-кліматичним умовам (яскравий приклад – фасади, що затемнюються, в </w:t>
      </w:r>
      <w:proofErr w:type="spellStart"/>
      <w:r>
        <w:rPr>
          <w:rFonts w:ascii="Times New Roman" w:eastAsia="Calibri" w:hAnsi="Times New Roman"/>
          <w:sz w:val="26"/>
          <w:szCs w:val="26"/>
          <w:lang w:val="uk-UA"/>
        </w:rPr>
        <w:t>Масдарі</w:t>
      </w:r>
      <w:proofErr w:type="spellEnd"/>
      <w:r>
        <w:rPr>
          <w:rFonts w:ascii="Times New Roman" w:eastAsia="Calibri" w:hAnsi="Times New Roman"/>
          <w:sz w:val="26"/>
          <w:szCs w:val="26"/>
          <w:lang w:val="uk-UA"/>
        </w:rPr>
        <w:t>; радіальне планування всіх розумних екологічних міст світу, оптимальна орієнтація будівель відповідно до сторін світу або рози вітрів тощо), та застосуванням інтелектуальних систем управління енергетичними потоками.</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Вирішення задачі в масштабі окремих будівель досягається шляхом: використання </w:t>
      </w:r>
      <w:proofErr w:type="spellStart"/>
      <w:r>
        <w:rPr>
          <w:rFonts w:ascii="Times New Roman" w:eastAsia="Calibri" w:hAnsi="Times New Roman"/>
          <w:sz w:val="26"/>
          <w:szCs w:val="26"/>
          <w:lang w:val="uk-UA"/>
        </w:rPr>
        <w:t>огороджуючих</w:t>
      </w:r>
      <w:proofErr w:type="spellEnd"/>
      <w:r>
        <w:rPr>
          <w:rFonts w:ascii="Times New Roman" w:eastAsia="Calibri" w:hAnsi="Times New Roman"/>
          <w:sz w:val="26"/>
          <w:szCs w:val="26"/>
          <w:lang w:val="uk-UA"/>
        </w:rPr>
        <w:t xml:space="preserve"> конструкцій із заданими показниками теплостійкості і підвищеним теплозахистом; встановлення теплових насосів, що працюють на застосуванні тепла землі, стічних вод, вентиляції; утилізації тепла сонячної радіації в тепловому співвідношенні будівель за рахунок оптимального вибору прозорих для світла </w:t>
      </w:r>
      <w:proofErr w:type="spellStart"/>
      <w:r>
        <w:rPr>
          <w:rFonts w:ascii="Times New Roman" w:eastAsia="Calibri" w:hAnsi="Times New Roman"/>
          <w:sz w:val="26"/>
          <w:szCs w:val="26"/>
          <w:lang w:val="uk-UA"/>
        </w:rPr>
        <w:t>огороджуючих</w:t>
      </w:r>
      <w:proofErr w:type="spellEnd"/>
      <w:r>
        <w:rPr>
          <w:rFonts w:ascii="Times New Roman" w:eastAsia="Calibri" w:hAnsi="Times New Roman"/>
          <w:sz w:val="26"/>
          <w:szCs w:val="26"/>
          <w:lang w:val="uk-UA"/>
        </w:rPr>
        <w:t xml:space="preserve"> конструкцій; оптимального вибору сонцезахисних споруд із урахуванням сезонності; застосування сучасної теплоізоляції трубопроводів гарячого </w:t>
      </w:r>
      <w:proofErr w:type="spellStart"/>
      <w:r>
        <w:rPr>
          <w:rFonts w:ascii="Times New Roman" w:eastAsia="Calibri" w:hAnsi="Times New Roman"/>
          <w:sz w:val="26"/>
          <w:szCs w:val="26"/>
          <w:lang w:val="uk-UA"/>
        </w:rPr>
        <w:t>водозабезпечення</w:t>
      </w:r>
      <w:proofErr w:type="spellEnd"/>
      <w:r>
        <w:rPr>
          <w:rFonts w:ascii="Times New Roman" w:eastAsia="Calibri" w:hAnsi="Times New Roman"/>
          <w:sz w:val="26"/>
          <w:szCs w:val="26"/>
          <w:lang w:val="uk-UA"/>
        </w:rPr>
        <w:t xml:space="preserve"> і опалення; встановлення сонячних колекторів для охолодження приміщень та нагріву води; встановлення систем </w:t>
      </w:r>
      <w:r>
        <w:rPr>
          <w:rFonts w:ascii="Times New Roman" w:eastAsia="Calibri" w:hAnsi="Times New Roman"/>
          <w:sz w:val="26"/>
          <w:szCs w:val="26"/>
          <w:lang w:val="uk-UA"/>
        </w:rPr>
        <w:lastRenderedPageBreak/>
        <w:t>вентиляції із утилізацією тепла та індивідуальним регулюванням; встановлення в приміщеннях окремих регуляторів теплового режиму та контролерів, що оптимізують споживання тепла; встановлення мікрокліматичних систем.</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sidRPr="008835F3">
        <w:rPr>
          <w:rFonts w:ascii="Times New Roman" w:eastAsia="Calibri" w:hAnsi="Times New Roman"/>
          <w:i/>
          <w:sz w:val="26"/>
          <w:szCs w:val="26"/>
          <w:lang w:val="uk-UA"/>
        </w:rPr>
        <w:t>Інфраструктура</w:t>
      </w:r>
      <w:r>
        <w:rPr>
          <w:rFonts w:ascii="Times New Roman" w:eastAsia="Calibri" w:hAnsi="Times New Roman"/>
          <w:sz w:val="26"/>
          <w:szCs w:val="26"/>
          <w:lang w:val="uk-UA"/>
        </w:rPr>
        <w:t>. Основою і результатом існування інфраструктури розумного екологічного міста є єдиний інформаційний простір обробки всіх міських процедур – від природоохоронних до соціальних. Інфраструктура розумного екологічного міста підвищує його економічну і соціальну ефективність, знижує навантаження на навколишнє середовище, забезпечує комфорт і безпеку жителів.</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Досягається це через встановлення інтелектуальної керуючої системи (приклад – </w:t>
      </w:r>
      <w:r>
        <w:rPr>
          <w:rFonts w:ascii="Times New Roman" w:hAnsi="Times New Roman" w:cs="Times New Roman"/>
          <w:sz w:val="26"/>
          <w:szCs w:val="26"/>
          <w:lang w:val="uk-UA"/>
        </w:rPr>
        <w:t xml:space="preserve">операційна система </w:t>
      </w:r>
      <w:proofErr w:type="spellStart"/>
      <w:r w:rsidRPr="00AA701A">
        <w:rPr>
          <w:rFonts w:ascii="Times New Roman" w:eastAsia="Georgia" w:hAnsi="Times New Roman"/>
          <w:sz w:val="26"/>
          <w:szCs w:val="26"/>
          <w:highlight w:val="white"/>
        </w:rPr>
        <w:t>Urban</w:t>
      </w:r>
      <w:proofErr w:type="spellEnd"/>
      <w:r w:rsidRPr="009676BC">
        <w:rPr>
          <w:rFonts w:ascii="Times New Roman" w:eastAsia="Georgia" w:hAnsi="Times New Roman"/>
          <w:sz w:val="26"/>
          <w:szCs w:val="26"/>
          <w:highlight w:val="white"/>
          <w:lang w:val="uk-UA"/>
        </w:rPr>
        <w:t xml:space="preserve"> </w:t>
      </w:r>
      <w:r w:rsidRPr="00AA701A">
        <w:rPr>
          <w:rFonts w:ascii="Times New Roman" w:eastAsia="Georgia" w:hAnsi="Times New Roman"/>
          <w:sz w:val="26"/>
          <w:szCs w:val="26"/>
          <w:highlight w:val="white"/>
        </w:rPr>
        <w:t>OS</w:t>
      </w:r>
      <w:r>
        <w:rPr>
          <w:rFonts w:ascii="Times New Roman" w:eastAsia="Georgia" w:hAnsi="Times New Roman"/>
          <w:sz w:val="26"/>
          <w:szCs w:val="26"/>
          <w:lang w:val="uk-UA"/>
        </w:rPr>
        <w:t>)</w:t>
      </w:r>
      <w:r>
        <w:rPr>
          <w:rFonts w:ascii="Times New Roman" w:eastAsia="Calibri" w:hAnsi="Times New Roman"/>
          <w:sz w:val="26"/>
          <w:szCs w:val="26"/>
          <w:lang w:val="uk-UA"/>
        </w:rPr>
        <w:t>, що пов’язує інженерну і транспортну мережі міста; через єдину мережу датчиків і контролерів система регулює функціонування систем життєзабезпечення міста, регулює транспортне навантаження, контролює стан конструктивних елементів зданій тощо; надає диспетчерським пунктам візуальну та статистично оброблену інформацію, що значно підвищує рівень інформованості і оперативності міських служб.</w:t>
      </w:r>
    </w:p>
    <w:p w:rsidR="00C10E67" w:rsidRDefault="00C10E67" w:rsidP="00C10E67">
      <w:pPr>
        <w:spacing w:after="0" w:line="360" w:lineRule="auto"/>
        <w:ind w:firstLine="709"/>
        <w:contextualSpacing/>
        <w:jc w:val="both"/>
        <w:rPr>
          <w:rFonts w:ascii="Times New Roman" w:eastAsia="Arial" w:hAnsi="Times New Roman"/>
          <w:sz w:val="26"/>
          <w:szCs w:val="26"/>
          <w:lang w:val="uk-UA"/>
        </w:rPr>
      </w:pPr>
      <w:r w:rsidRPr="00FA5A2B">
        <w:rPr>
          <w:rFonts w:ascii="Times New Roman" w:eastAsia="Calibri" w:hAnsi="Times New Roman"/>
          <w:i/>
          <w:sz w:val="26"/>
          <w:szCs w:val="26"/>
          <w:lang w:val="uk-UA"/>
        </w:rPr>
        <w:t>Енергозабезпечення.</w:t>
      </w:r>
      <w:r>
        <w:rPr>
          <w:rFonts w:ascii="Times New Roman" w:eastAsia="Calibri" w:hAnsi="Times New Roman"/>
          <w:sz w:val="26"/>
          <w:szCs w:val="26"/>
          <w:lang w:val="uk-UA"/>
        </w:rPr>
        <w:t xml:space="preserve"> Основними джерелами енергії в екологічному місті є сонце та вітер. Для перетворення сонячної енергії в теплову використовуються сонячні колектори, отримана в такий спосіб енергія використовується в системах опалення та гарячого </w:t>
      </w:r>
      <w:proofErr w:type="spellStart"/>
      <w:r>
        <w:rPr>
          <w:rFonts w:ascii="Times New Roman" w:eastAsia="Calibri" w:hAnsi="Times New Roman"/>
          <w:sz w:val="26"/>
          <w:szCs w:val="26"/>
          <w:lang w:val="uk-UA"/>
        </w:rPr>
        <w:t>водозабезпечення</w:t>
      </w:r>
      <w:proofErr w:type="spellEnd"/>
      <w:r>
        <w:rPr>
          <w:rFonts w:ascii="Times New Roman" w:eastAsia="Calibri" w:hAnsi="Times New Roman"/>
          <w:sz w:val="26"/>
          <w:szCs w:val="26"/>
          <w:lang w:val="uk-UA"/>
        </w:rPr>
        <w:t>. Для перетворення сонячної енергії в електричну використовуються сонячні акумулятори. Площа колекторів і об’єми батарей розраховуються залежно від кліматичних умов (річної кількості сонячних днів та норм споживання тепла на добу). При цьому в ідеальному варіанті колекторами і батареями оснащується кожен окремий будинок міста. Інтелектуальна керуюча с</w:t>
      </w:r>
      <w:r>
        <w:rPr>
          <w:rFonts w:ascii="Times New Roman" w:eastAsia="Arial" w:hAnsi="Times New Roman"/>
          <w:sz w:val="26"/>
          <w:szCs w:val="26"/>
          <w:lang w:val="uk-UA"/>
        </w:rPr>
        <w:t>истема міста пов’язується з кожним побутовим пристроєм та керує енергетичними потоками так, щоб збалансувати подачу електроенергії і потреби в неї, спираючись в процесі регулювання навантаження на електричну мережу на роботу акумуляторів.</w:t>
      </w:r>
    </w:p>
    <w:p w:rsidR="00C10E67" w:rsidRDefault="00C10E67" w:rsidP="00C10E67">
      <w:pPr>
        <w:pStyle w:val="a3"/>
        <w:widowControl w:val="0"/>
        <w:spacing w:after="0" w:line="360" w:lineRule="auto"/>
        <w:ind w:left="0" w:firstLine="709"/>
        <w:jc w:val="both"/>
        <w:rPr>
          <w:rFonts w:ascii="Times New Roman" w:eastAsia="Calibri" w:hAnsi="Times New Roman"/>
          <w:sz w:val="26"/>
          <w:szCs w:val="26"/>
          <w:lang w:val="uk-UA"/>
        </w:rPr>
      </w:pPr>
      <w:r w:rsidRPr="004136DD">
        <w:rPr>
          <w:rFonts w:ascii="Times New Roman" w:eastAsia="Calibri" w:hAnsi="Times New Roman"/>
          <w:i/>
          <w:sz w:val="26"/>
          <w:szCs w:val="26"/>
          <w:lang w:val="uk-UA"/>
        </w:rPr>
        <w:t>Транспорт</w:t>
      </w:r>
      <w:r>
        <w:rPr>
          <w:rFonts w:ascii="Times New Roman" w:eastAsia="Calibri" w:hAnsi="Times New Roman"/>
          <w:sz w:val="26"/>
          <w:szCs w:val="26"/>
          <w:lang w:val="uk-UA"/>
        </w:rPr>
        <w:t xml:space="preserve"> в розумному екологічному місті також засновується на інтелектуальної керуючої системі, що здійснює оперативне управління всіма видами транспорту в режимі реального часу. Основним видом транспорту є суспільний електричний транспорт і велосипеди. Місто орієнтується на пішохода, </w:t>
      </w:r>
      <w:r>
        <w:rPr>
          <w:rFonts w:ascii="Times New Roman" w:eastAsia="Calibri" w:hAnsi="Times New Roman"/>
          <w:sz w:val="26"/>
          <w:szCs w:val="26"/>
          <w:lang w:val="uk-UA"/>
        </w:rPr>
        <w:lastRenderedPageBreak/>
        <w:t>тому планується таким чином, щоб забезпечити шагову доступність місць роботи, необхідних соціальних, побутових і культурних установ. В рамках розумної транспортної системи створюється орієнтований на споживача інтерфейс, що поєднує необхідні жителям міста транспортні сервіси. В якості особистого транспорту можуть використовуватися електромобілі.</w:t>
      </w:r>
    </w:p>
    <w:p w:rsidR="00C10E67" w:rsidRDefault="00C10E67" w:rsidP="00C10E67">
      <w:pPr>
        <w:pStyle w:val="a3"/>
        <w:widowControl w:val="0"/>
        <w:spacing w:after="0" w:line="360" w:lineRule="auto"/>
        <w:ind w:left="0" w:firstLine="709"/>
        <w:jc w:val="both"/>
        <w:rPr>
          <w:rFonts w:ascii="Times New Roman" w:eastAsia="Arial" w:hAnsi="Times New Roman"/>
          <w:sz w:val="26"/>
          <w:szCs w:val="26"/>
          <w:lang w:val="uk-UA"/>
        </w:rPr>
      </w:pPr>
      <w:r w:rsidRPr="006A1F90">
        <w:rPr>
          <w:rFonts w:ascii="Times New Roman" w:eastAsia="Arial" w:hAnsi="Times New Roman"/>
          <w:i/>
          <w:sz w:val="26"/>
          <w:szCs w:val="26"/>
          <w:lang w:val="uk-UA"/>
        </w:rPr>
        <w:t>Комунікації</w:t>
      </w:r>
      <w:r>
        <w:rPr>
          <w:rFonts w:ascii="Times New Roman" w:eastAsia="Arial" w:hAnsi="Times New Roman"/>
          <w:sz w:val="26"/>
          <w:szCs w:val="26"/>
          <w:lang w:val="uk-UA"/>
        </w:rPr>
        <w:t xml:space="preserve">. Всі необхідні для нормального функціонування міста соціальні установи, комунальні служби, </w:t>
      </w:r>
      <w:proofErr w:type="spellStart"/>
      <w:r>
        <w:rPr>
          <w:rFonts w:ascii="Times New Roman" w:eastAsia="Arial" w:hAnsi="Times New Roman"/>
          <w:sz w:val="26"/>
          <w:szCs w:val="26"/>
          <w:lang w:val="uk-UA"/>
        </w:rPr>
        <w:t>служби</w:t>
      </w:r>
      <w:proofErr w:type="spellEnd"/>
      <w:r>
        <w:rPr>
          <w:rFonts w:ascii="Times New Roman" w:eastAsia="Arial" w:hAnsi="Times New Roman"/>
          <w:sz w:val="26"/>
          <w:szCs w:val="26"/>
          <w:lang w:val="uk-UA"/>
        </w:rPr>
        <w:t xml:space="preserve"> технічної підтримки тощо зв’язуються в єдину мережу, що забезпечує жителям: віддалений доступ до усіх сервісів та послуг та соціальну і інформаційну безпеку.</w:t>
      </w:r>
      <w:bookmarkStart w:id="0" w:name="_GoBack"/>
      <w:bookmarkEnd w:id="0"/>
    </w:p>
    <w:p w:rsidR="00FA649B" w:rsidRDefault="00FA649B"/>
    <w:sectPr w:rsidR="00FA6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09"/>
    <w:rsid w:val="00C10E67"/>
    <w:rsid w:val="00EC2309"/>
    <w:rsid w:val="00FA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2013-07-16T13:35:00Z</dcterms:created>
  <dcterms:modified xsi:type="dcterms:W3CDTF">2013-07-16T13:35:00Z</dcterms:modified>
</cp:coreProperties>
</file>