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EB" w:rsidRDefault="001A5FEB" w:rsidP="001A5FEB">
      <w:pPr>
        <w:spacing w:after="0" w:line="360" w:lineRule="auto"/>
        <w:jc w:val="center"/>
        <w:rPr>
          <w:rFonts w:ascii="Times New Roman" w:hAnsi="Times New Roman"/>
          <w:b/>
          <w:i/>
          <w:sz w:val="26"/>
          <w:szCs w:val="26"/>
          <w:lang w:val="uk-UA"/>
        </w:rPr>
      </w:pPr>
      <w:r>
        <w:rPr>
          <w:rFonts w:ascii="Times New Roman" w:hAnsi="Times New Roman"/>
          <w:b/>
          <w:i/>
          <w:sz w:val="26"/>
          <w:szCs w:val="26"/>
          <w:lang w:val="uk-UA"/>
        </w:rPr>
        <w:t>2.1.4.4. Містобудівні технічні норми та стандарти реалізації проекту</w:t>
      </w:r>
    </w:p>
    <w:p w:rsidR="001A5FEB" w:rsidRDefault="001A5FEB" w:rsidP="001A5FEB">
      <w:pPr>
        <w:pStyle w:val="a5"/>
        <w:spacing w:after="0" w:line="360" w:lineRule="auto"/>
        <w:ind w:left="0" w:firstLine="709"/>
        <w:jc w:val="both"/>
        <w:rPr>
          <w:b w:val="0"/>
          <w:color w:val="000000"/>
          <w:sz w:val="26"/>
          <w:szCs w:val="26"/>
          <w:lang w:val="uk-UA"/>
        </w:rPr>
      </w:pPr>
    </w:p>
    <w:p w:rsidR="001A5FEB" w:rsidRDefault="001A5FEB" w:rsidP="001A5FEB">
      <w:pPr>
        <w:pStyle w:val="a5"/>
        <w:spacing w:after="0" w:line="360" w:lineRule="auto"/>
        <w:ind w:left="0" w:firstLine="709"/>
        <w:jc w:val="both"/>
        <w:rPr>
          <w:b w:val="0"/>
          <w:color w:val="000000"/>
          <w:sz w:val="26"/>
          <w:szCs w:val="26"/>
          <w:lang w:val="uk-UA"/>
        </w:rPr>
      </w:pPr>
      <w:r>
        <w:rPr>
          <w:b w:val="0"/>
          <w:color w:val="000000"/>
          <w:sz w:val="26"/>
          <w:szCs w:val="26"/>
          <w:lang w:val="uk-UA"/>
        </w:rPr>
        <w:t>Генеральна схема планування території України – найважливіший містобудівний документ, який визначає довгострокові параметри містобудівного розвитку нашої держави, передбачає раціональне використання її території, створення та підтримання повноцінного життєвого середовища, охорони довкілля, пам’яток історії та культури, визначення державних пріоритетів розвитку систем розселення, соціальної та інженерно-транспортної інфраструктури.</w:t>
      </w:r>
    </w:p>
    <w:p w:rsidR="001A5FEB" w:rsidRDefault="001A5FEB" w:rsidP="001A5FEB">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Мета Генеральної схеми – забезпечення планувальної основи для раціонального використання території України, створення та підтримання повноцінного життєвого середовища, охорони довкілля та здоров’я населення, охорони пам’яток історії та культури, а також визначення державних пріоритетів розвитку систем розселення, виробничої, соціальної та інженерно-транспортної інфраструктури.</w:t>
      </w:r>
    </w:p>
    <w:p w:rsidR="001A5FEB" w:rsidRDefault="001A5FEB" w:rsidP="001A5FEB">
      <w:pPr>
        <w:pStyle w:val="21"/>
        <w:spacing w:before="0" w:after="0" w:line="360" w:lineRule="auto"/>
        <w:ind w:firstLine="709"/>
        <w:rPr>
          <w:sz w:val="26"/>
          <w:szCs w:val="26"/>
          <w:lang w:val="ru-RU"/>
        </w:rPr>
      </w:pPr>
      <w:r>
        <w:rPr>
          <w:sz w:val="26"/>
          <w:szCs w:val="26"/>
        </w:rPr>
        <w:t>Генеральна схема була затверджена на рівні Закону України 7 лютого 2002 р. Постановою Кабінету Міністрів України від 29.08.2002 р. №1291 "Про забезпечення реалізації Закону України "Про Генеральну схему планування території України" визначено заходи по реалізації основних положень Генеральної схеми у сфері розвитку системи розселення, формування екологічного каркасу, розвитку транспортної та інженерної інфраструктури тощо. Зокрема, Генеральною схемою визначені елементи екологічного каркасу, які включають систему природних коридорів, що мають забезпечити стійкість екологічного каркасу нашої держави. До складу цих територій включене узбережжя Чорного та Азовського морів, включаючи Арабатську стрілку (рис.2.6).</w:t>
      </w:r>
    </w:p>
    <w:p w:rsidR="001A5FEB" w:rsidRDefault="001A5FEB" w:rsidP="001A5FEB">
      <w:pPr>
        <w:pStyle w:val="a3"/>
        <w:spacing w:after="0" w:line="360" w:lineRule="auto"/>
        <w:jc w:val="center"/>
        <w:rPr>
          <w:b w:val="0"/>
          <w:color w:val="000000"/>
          <w:spacing w:val="26"/>
          <w:sz w:val="26"/>
          <w:szCs w:val="26"/>
        </w:rPr>
      </w:pPr>
      <w:r>
        <w:rPr>
          <w:b w:val="0"/>
          <w:noProof/>
          <w:sz w:val="26"/>
          <w:szCs w:val="26"/>
        </w:rPr>
        <w:lastRenderedPageBreak/>
        <w:drawing>
          <wp:inline distT="0" distB="0" distL="0" distR="0">
            <wp:extent cx="5592445" cy="3615055"/>
            <wp:effectExtent l="19050" t="19050" r="27305" b="23495"/>
            <wp:docPr id="1" name="Рисунок 7" descr="Рисунок4vari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исунок4variant"/>
                    <pic:cNvPicPr>
                      <a:picLocks noChangeAspect="1" noChangeArrowheads="1"/>
                    </pic:cNvPicPr>
                  </pic:nvPicPr>
                  <pic:blipFill>
                    <a:blip r:embed="rId5"/>
                    <a:srcRect/>
                    <a:stretch>
                      <a:fillRect/>
                    </a:stretch>
                  </pic:blipFill>
                  <pic:spPr bwMode="auto">
                    <a:xfrm>
                      <a:off x="0" y="0"/>
                      <a:ext cx="5592445" cy="3615055"/>
                    </a:xfrm>
                    <a:prstGeom prst="rect">
                      <a:avLst/>
                    </a:prstGeom>
                    <a:noFill/>
                    <a:ln w="9525" cmpd="sng">
                      <a:solidFill>
                        <a:srgbClr val="000000"/>
                      </a:solidFill>
                      <a:miter lim="800000"/>
                      <a:headEnd/>
                      <a:tailEnd/>
                    </a:ln>
                    <a:effectLst/>
                  </pic:spPr>
                </pic:pic>
              </a:graphicData>
            </a:graphic>
          </wp:inline>
        </w:drawing>
      </w:r>
    </w:p>
    <w:p w:rsidR="001A5FEB" w:rsidRDefault="001A5FEB" w:rsidP="001A5FEB">
      <w:pPr>
        <w:spacing w:after="120" w:line="360" w:lineRule="auto"/>
        <w:jc w:val="center"/>
        <w:rPr>
          <w:rFonts w:ascii="Times New Roman" w:hAnsi="Times New Roman"/>
          <w:sz w:val="26"/>
          <w:szCs w:val="26"/>
        </w:rPr>
      </w:pPr>
      <w:r>
        <w:rPr>
          <w:rFonts w:ascii="Times New Roman" w:hAnsi="Times New Roman"/>
          <w:sz w:val="26"/>
          <w:szCs w:val="26"/>
          <w:lang w:val="uk-UA"/>
        </w:rPr>
        <w:t>Рисунок 2.6  - Структура екологічного каркасу території України згідно Генеральної схеми</w:t>
      </w:r>
    </w:p>
    <w:p w:rsidR="001A5FEB" w:rsidRDefault="001A5FEB" w:rsidP="001A5FEB">
      <w:pPr>
        <w:pStyle w:val="21"/>
        <w:spacing w:before="0" w:after="0" w:line="360" w:lineRule="auto"/>
        <w:ind w:firstLine="709"/>
        <w:rPr>
          <w:sz w:val="26"/>
          <w:szCs w:val="26"/>
          <w:lang w:val="ru-RU"/>
        </w:rPr>
      </w:pPr>
      <w:r>
        <w:rPr>
          <w:sz w:val="26"/>
          <w:szCs w:val="26"/>
        </w:rPr>
        <w:t>У заходах по реалізації Генеральної схеми визначена необхідність розробити Схему планування території узбережжя Чорного та Азовського морів для застосування у Донецькій, Запорізькій, Херсонський, Одеській, Миколаївській областях та АРК. Ця схема була виконана інститутом “Діпромісто” протягом 2004-2006 рр.  згідно договору, укладеного з Міністерством будівництва, архітектури та житлово-комунального господарства України.</w:t>
      </w:r>
    </w:p>
    <w:p w:rsidR="001A5FEB" w:rsidRDefault="001A5FEB" w:rsidP="001A5FEB">
      <w:pPr>
        <w:pStyle w:val="a3"/>
        <w:spacing w:after="0" w:line="360" w:lineRule="auto"/>
        <w:ind w:firstLine="709"/>
        <w:jc w:val="both"/>
        <w:rPr>
          <w:b w:val="0"/>
          <w:sz w:val="26"/>
          <w:szCs w:val="26"/>
          <w:lang w:val="uk-UA"/>
        </w:rPr>
      </w:pPr>
      <w:r>
        <w:rPr>
          <w:b w:val="0"/>
          <w:color w:val="000000"/>
          <w:sz w:val="26"/>
          <w:szCs w:val="26"/>
          <w:lang w:val="uk-UA"/>
        </w:rPr>
        <w:t>В нормативних документах до морського узбережжя встановлюються певні особливі вимоги щодо освоєння його території. В будівельних нормативах встановлено трьох та двохкілометрову зону обмежень відносно певних видів використання території. Стосовно 100-метрової пляжної зони встановлено окремі вимоги щодо функції використання, характеру забудови та навантаження на природний ландшафт, здійснення будівельних робіт. В санітарно - гігієнічних правилах для рекреаційних територій встановлюються більш суворі величини норм граничного забруднення повітря, води та ґрунтів. Для територій, де знаходяться приморські лікувальні ресурси, мають бути запроваджені зони санітарної охорони.</w:t>
      </w:r>
    </w:p>
    <w:p w:rsidR="001A5FEB" w:rsidRDefault="001A5FEB" w:rsidP="001A5FEB">
      <w:pPr>
        <w:shd w:val="clear" w:color="auto" w:fill="FFFFFF"/>
        <w:spacing w:after="0" w:line="360" w:lineRule="auto"/>
        <w:ind w:firstLine="709"/>
        <w:jc w:val="both"/>
        <w:rPr>
          <w:rFonts w:ascii="Times New Roman" w:hAnsi="Times New Roman"/>
          <w:sz w:val="26"/>
          <w:szCs w:val="26"/>
          <w:lang w:val="uk-UA"/>
        </w:rPr>
      </w:pPr>
      <w:r>
        <w:rPr>
          <w:rFonts w:ascii="Times New Roman" w:hAnsi="Times New Roman"/>
          <w:color w:val="000000"/>
          <w:sz w:val="26"/>
          <w:szCs w:val="26"/>
          <w:lang w:val="uk-UA"/>
        </w:rPr>
        <w:t xml:space="preserve">В державних документах щодо побудови системи територій особливої охорони, морське узбережжя визначено як територія підвищеної концентрації </w:t>
      </w:r>
      <w:r>
        <w:rPr>
          <w:rFonts w:ascii="Times New Roman" w:hAnsi="Times New Roman"/>
          <w:color w:val="000000"/>
          <w:sz w:val="26"/>
          <w:szCs w:val="26"/>
          <w:lang w:val="uk-UA"/>
        </w:rPr>
        <w:lastRenderedPageBreak/>
        <w:t>національних парків та заповідників. Державною системою попередження наслідків від несприятливих процесів і явищ передбачено, що на морському узбережжі створюється єдина система берегоукріплення, протизсувних споруд та благоустрою порушених територій. Спеціальні вимоги встановлені до якості водного середовища прибережних акваторій рибогосподарського призначення. При встановленні ціни на землю під забудовою запроваджується більш високий рівень плати за землю в приморських містах.</w:t>
      </w:r>
    </w:p>
    <w:p w:rsidR="001A5FEB" w:rsidRDefault="001A5FEB" w:rsidP="001A5FEB">
      <w:pPr>
        <w:shd w:val="clear" w:color="auto" w:fill="FFFFFF"/>
        <w:spacing w:after="0" w:line="360" w:lineRule="auto"/>
        <w:ind w:firstLine="709"/>
        <w:jc w:val="both"/>
        <w:rPr>
          <w:rFonts w:ascii="Times New Roman" w:hAnsi="Times New Roman"/>
          <w:color w:val="000000"/>
          <w:sz w:val="26"/>
          <w:szCs w:val="26"/>
        </w:rPr>
      </w:pPr>
      <w:r>
        <w:rPr>
          <w:rFonts w:ascii="Times New Roman" w:hAnsi="Times New Roman"/>
          <w:color w:val="000000"/>
          <w:sz w:val="26"/>
          <w:szCs w:val="26"/>
          <w:lang w:val="uk-UA"/>
        </w:rPr>
        <w:t>В межах прибережної смуги морів України, що займає близько однієї п'ятдесятої частини території країни, зосереджена одна десята частина населення. Господарське значення цієї специфічної зони підкреслюється її провідною роллю в галузях морського транспорту, рекреаційного господарства, риболовства.</w:t>
      </w:r>
    </w:p>
    <w:p w:rsidR="001A5FEB" w:rsidRDefault="001A5FEB" w:rsidP="001A5FEB">
      <w:pPr>
        <w:shd w:val="clear" w:color="auto" w:fill="FFFFFF"/>
        <w:spacing w:after="0" w:line="360" w:lineRule="auto"/>
        <w:ind w:firstLine="709"/>
        <w:jc w:val="both"/>
        <w:rPr>
          <w:rFonts w:ascii="Times New Roman" w:hAnsi="Times New Roman"/>
          <w:sz w:val="26"/>
          <w:szCs w:val="26"/>
        </w:rPr>
      </w:pPr>
      <w:r>
        <w:rPr>
          <w:rFonts w:ascii="Times New Roman" w:hAnsi="Times New Roman"/>
          <w:sz w:val="26"/>
          <w:szCs w:val="26"/>
          <w:lang w:val="uk-UA"/>
        </w:rPr>
        <w:t>З точки зору вирішення містобудівного розвитку прибережних територій Чорного та Азовського морів важливим є врахування загальнодержавних інтересів при плануванні територіального розвитку окремих областей, які прилягають до морського узбережжя.</w:t>
      </w:r>
    </w:p>
    <w:p w:rsidR="001A5FEB" w:rsidRDefault="001A5FEB" w:rsidP="001A5FEB">
      <w:pPr>
        <w:shd w:val="clear" w:color="auto" w:fill="FFFFFF"/>
        <w:spacing w:after="0" w:line="360" w:lineRule="auto"/>
        <w:ind w:firstLine="709"/>
        <w:jc w:val="both"/>
        <w:rPr>
          <w:rFonts w:ascii="Times New Roman" w:hAnsi="Times New Roman"/>
          <w:sz w:val="26"/>
          <w:szCs w:val="26"/>
        </w:rPr>
      </w:pPr>
      <w:r>
        <w:rPr>
          <w:rFonts w:ascii="Times New Roman" w:hAnsi="Times New Roman"/>
          <w:sz w:val="26"/>
          <w:szCs w:val="26"/>
          <w:lang w:val="uk-UA"/>
        </w:rPr>
        <w:t>Головними завданнями розроблення схеми планування є:</w:t>
      </w:r>
    </w:p>
    <w:p w:rsidR="001A5FEB" w:rsidRDefault="001A5FEB" w:rsidP="001A5FEB">
      <w:pPr>
        <w:numPr>
          <w:ilvl w:val="0"/>
          <w:numId w:val="1"/>
        </w:numPr>
        <w:shd w:val="clear" w:color="auto" w:fill="FFFFFF"/>
        <w:tabs>
          <w:tab w:val="clear" w:pos="709"/>
          <w:tab w:val="num" w:pos="1080"/>
        </w:tabs>
        <w:spacing w:after="0" w:line="360" w:lineRule="auto"/>
        <w:ind w:left="0"/>
        <w:jc w:val="both"/>
        <w:rPr>
          <w:rFonts w:ascii="Times New Roman" w:hAnsi="Times New Roman"/>
          <w:sz w:val="26"/>
          <w:szCs w:val="26"/>
        </w:rPr>
      </w:pPr>
      <w:r>
        <w:rPr>
          <w:rFonts w:ascii="Times New Roman" w:hAnsi="Times New Roman"/>
          <w:sz w:val="26"/>
          <w:szCs w:val="26"/>
          <w:lang w:val="uk-UA"/>
        </w:rPr>
        <w:t>визначення меж Приморського регіону, який є головним об'єктом проектування та складу адміністративно-територіальних одиниць, які входять до його складу;</w:t>
      </w:r>
    </w:p>
    <w:p w:rsidR="001A5FEB" w:rsidRDefault="001A5FEB" w:rsidP="001A5FEB">
      <w:pPr>
        <w:numPr>
          <w:ilvl w:val="0"/>
          <w:numId w:val="1"/>
        </w:numPr>
        <w:shd w:val="clear" w:color="auto" w:fill="FFFFFF"/>
        <w:tabs>
          <w:tab w:val="clear" w:pos="709"/>
          <w:tab w:val="num" w:pos="1080"/>
        </w:tabs>
        <w:spacing w:after="0" w:line="360" w:lineRule="auto"/>
        <w:ind w:left="0"/>
        <w:jc w:val="both"/>
        <w:rPr>
          <w:rFonts w:ascii="Times New Roman" w:hAnsi="Times New Roman"/>
          <w:sz w:val="26"/>
          <w:szCs w:val="26"/>
        </w:rPr>
      </w:pPr>
      <w:r>
        <w:rPr>
          <w:rFonts w:ascii="Times New Roman" w:hAnsi="Times New Roman"/>
          <w:sz w:val="26"/>
          <w:szCs w:val="26"/>
          <w:lang w:val="uk-UA"/>
        </w:rPr>
        <w:t>визначення меж узбережжя Чорного та Азовського морів, у межах якої безпосередньо відбуваються контакти між суходолом та акваторією;</w:t>
      </w:r>
    </w:p>
    <w:p w:rsidR="001A5FEB" w:rsidRDefault="001A5FEB" w:rsidP="001A5FEB">
      <w:pPr>
        <w:numPr>
          <w:ilvl w:val="0"/>
          <w:numId w:val="1"/>
        </w:numPr>
        <w:shd w:val="clear" w:color="auto" w:fill="FFFFFF"/>
        <w:tabs>
          <w:tab w:val="clear" w:pos="709"/>
          <w:tab w:val="num" w:pos="1080"/>
        </w:tabs>
        <w:spacing w:after="0" w:line="360" w:lineRule="auto"/>
        <w:ind w:left="0"/>
        <w:jc w:val="both"/>
        <w:rPr>
          <w:rFonts w:ascii="Times New Roman" w:hAnsi="Times New Roman"/>
          <w:color w:val="000000"/>
          <w:sz w:val="26"/>
          <w:szCs w:val="26"/>
        </w:rPr>
      </w:pPr>
      <w:r>
        <w:rPr>
          <w:rFonts w:ascii="Times New Roman" w:hAnsi="Times New Roman"/>
          <w:sz w:val="26"/>
          <w:szCs w:val="26"/>
          <w:lang w:val="uk-UA"/>
        </w:rPr>
        <w:t>визначення переліку загальнодержавних та регіональних заходів щодо реалізації схеми планування на території Одеської, Миколаївської, Херсонської, Запорізької, Донецької областей та АР Крим.</w:t>
      </w:r>
    </w:p>
    <w:p w:rsidR="001A5FEB" w:rsidRDefault="001A5FEB" w:rsidP="001A5FEB">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В проекті Приморський регіон був структурно розділений на три підрегіони: Причорноморський, Приазовський та Кримський. Загальна ємність оздоровчо-рекреаційних закладів Приазовського підрегіону, до якого відноситься Арабатська стрілка, складає 113,3 тис. місць. Частка оздоровчих закладів складає 2,8 % від загальної ємкості, рекреаційних – 97,2%. За місткістю сучасна структура курортно-рекреаційної зони узбережжя Азовського моря в межах Херсонської області визначається переважанням баз відпочинку і пансіонатів. Значні місткості мають </w:t>
      </w:r>
      <w:r>
        <w:rPr>
          <w:rFonts w:ascii="Times New Roman" w:hAnsi="Times New Roman"/>
          <w:sz w:val="26"/>
          <w:szCs w:val="26"/>
          <w:lang w:val="uk-UA"/>
        </w:rPr>
        <w:lastRenderedPageBreak/>
        <w:t>дитячі оздоровчі заклади, частка яких складає біля 30% від загальної кількості місць.</w:t>
      </w:r>
    </w:p>
    <w:p w:rsidR="001A5FEB" w:rsidRDefault="001A5FEB" w:rsidP="001A5FEB">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Схемою планування передбачене використання  ресурсного потенціалу Генічеського району у 81,9 тис. місць проти 42,8 тис. місць існуючих.</w:t>
      </w:r>
    </w:p>
    <w:p w:rsidR="001A5FEB" w:rsidRDefault="001A5FEB" w:rsidP="001A5FEB">
      <w:pPr>
        <w:spacing w:after="0" w:line="360" w:lineRule="auto"/>
        <w:ind w:firstLine="709"/>
        <w:jc w:val="both"/>
        <w:rPr>
          <w:rFonts w:ascii="Times New Roman" w:hAnsi="Times New Roman"/>
          <w:sz w:val="26"/>
          <w:szCs w:val="26"/>
          <w:lang w:val="uk-UA"/>
        </w:rPr>
      </w:pPr>
    </w:p>
    <w:tbl>
      <w:tblPr>
        <w:tblW w:w="9883" w:type="dxa"/>
        <w:tblLook w:val="04A0"/>
      </w:tblPr>
      <w:tblGrid>
        <w:gridCol w:w="438"/>
        <w:gridCol w:w="2136"/>
        <w:gridCol w:w="1010"/>
        <w:gridCol w:w="1234"/>
        <w:gridCol w:w="1409"/>
        <w:gridCol w:w="1014"/>
        <w:gridCol w:w="1234"/>
        <w:gridCol w:w="1408"/>
      </w:tblGrid>
      <w:tr w:rsidR="001A5FEB" w:rsidTr="001A5FEB">
        <w:trPr>
          <w:trHeight w:val="330"/>
          <w:tblHeader/>
        </w:trPr>
        <w:tc>
          <w:tcPr>
            <w:tcW w:w="5000" w:type="pct"/>
            <w:gridSpan w:val="8"/>
            <w:tcBorders>
              <w:top w:val="nil"/>
              <w:left w:val="nil"/>
              <w:bottom w:val="single" w:sz="4" w:space="0" w:color="auto"/>
              <w:right w:val="nil"/>
            </w:tcBorders>
            <w:hideMark/>
          </w:tcPr>
          <w:p w:rsidR="001A5FEB" w:rsidRDefault="001A5FEB">
            <w:pPr>
              <w:spacing w:after="0" w:line="240" w:lineRule="auto"/>
              <w:jc w:val="center"/>
              <w:rPr>
                <w:rFonts w:ascii="Times New Roman" w:hAnsi="Times New Roman"/>
                <w:b/>
                <w:sz w:val="26"/>
                <w:szCs w:val="26"/>
                <w:lang w:val="uk-UA"/>
              </w:rPr>
            </w:pPr>
            <w:r>
              <w:rPr>
                <w:rFonts w:ascii="Times New Roman" w:hAnsi="Times New Roman"/>
                <w:sz w:val="26"/>
                <w:szCs w:val="26"/>
                <w:lang w:val="uk-UA"/>
              </w:rPr>
              <w:t xml:space="preserve">Таблиця 2.1 - </w:t>
            </w:r>
            <w:bookmarkStart w:id="0" w:name="RANGE!A1:H70"/>
            <w:r>
              <w:rPr>
                <w:rFonts w:ascii="Times New Roman" w:hAnsi="Times New Roman"/>
                <w:sz w:val="26"/>
                <w:szCs w:val="26"/>
                <w:lang w:val="uk-UA"/>
              </w:rPr>
              <w:t>Оздоровчо-рекреаційні заклади узбережжя Азовського мор</w:t>
            </w:r>
            <w:bookmarkEnd w:id="0"/>
            <w:r>
              <w:rPr>
                <w:rFonts w:ascii="Times New Roman" w:hAnsi="Times New Roman"/>
                <w:sz w:val="26"/>
                <w:szCs w:val="26"/>
                <w:lang w:val="uk-UA"/>
              </w:rPr>
              <w:t>я</w:t>
            </w:r>
          </w:p>
        </w:tc>
      </w:tr>
      <w:tr w:rsidR="001A5FEB" w:rsidTr="001A5FEB">
        <w:trPr>
          <w:trHeight w:val="315"/>
          <w:tblHeader/>
        </w:trPr>
        <w:tc>
          <w:tcPr>
            <w:tcW w:w="222" w:type="pct"/>
            <w:vMerge w:val="restart"/>
            <w:tcBorders>
              <w:top w:val="single" w:sz="4" w:space="0" w:color="auto"/>
              <w:left w:val="single" w:sz="4" w:space="0" w:color="auto"/>
              <w:bottom w:val="single" w:sz="4" w:space="0" w:color="auto"/>
              <w:right w:val="single" w:sz="4" w:space="0" w:color="auto"/>
            </w:tcBorders>
            <w:vAlign w:val="center"/>
            <w:hideMark/>
          </w:tcPr>
          <w:p w:rsidR="001A5FEB" w:rsidRDefault="001A5FEB">
            <w:pPr>
              <w:spacing w:after="0" w:line="240" w:lineRule="auto"/>
              <w:jc w:val="center"/>
              <w:rPr>
                <w:rFonts w:ascii="Times New Roman" w:hAnsi="Times New Roman"/>
                <w:b/>
                <w:lang w:val="uk-UA"/>
              </w:rPr>
            </w:pPr>
            <w:r>
              <w:rPr>
                <w:rFonts w:ascii="Times New Roman" w:hAnsi="Times New Roman"/>
                <w:b/>
                <w:lang w:val="uk-UA"/>
              </w:rPr>
              <w:t>№</w:t>
            </w:r>
          </w:p>
        </w:tc>
        <w:tc>
          <w:tcPr>
            <w:tcW w:w="1081" w:type="pct"/>
            <w:vMerge w:val="restart"/>
            <w:tcBorders>
              <w:top w:val="single" w:sz="4" w:space="0" w:color="auto"/>
              <w:left w:val="single" w:sz="4" w:space="0" w:color="auto"/>
              <w:bottom w:val="single" w:sz="4" w:space="0" w:color="auto"/>
              <w:right w:val="single" w:sz="4" w:space="0" w:color="auto"/>
            </w:tcBorders>
            <w:vAlign w:val="center"/>
            <w:hideMark/>
          </w:tcPr>
          <w:p w:rsidR="001A5FEB" w:rsidRDefault="001A5FEB">
            <w:pPr>
              <w:spacing w:after="0" w:line="240" w:lineRule="auto"/>
              <w:jc w:val="center"/>
              <w:rPr>
                <w:rFonts w:ascii="Times New Roman" w:hAnsi="Times New Roman"/>
                <w:b/>
                <w:lang w:val="uk-UA"/>
              </w:rPr>
            </w:pPr>
            <w:r>
              <w:rPr>
                <w:rFonts w:ascii="Times New Roman" w:hAnsi="Times New Roman"/>
                <w:b/>
                <w:lang w:val="uk-UA"/>
              </w:rPr>
              <w:t>Територіальні одиниці</w:t>
            </w:r>
          </w:p>
        </w:tc>
        <w:tc>
          <w:tcPr>
            <w:tcW w:w="1848" w:type="pct"/>
            <w:gridSpan w:val="3"/>
            <w:tcBorders>
              <w:top w:val="single" w:sz="4" w:space="0" w:color="auto"/>
              <w:left w:val="nil"/>
              <w:bottom w:val="single" w:sz="4" w:space="0" w:color="auto"/>
              <w:right w:val="single" w:sz="4" w:space="0" w:color="auto"/>
            </w:tcBorders>
            <w:vAlign w:val="center"/>
            <w:hideMark/>
          </w:tcPr>
          <w:p w:rsidR="001A5FEB" w:rsidRDefault="001A5FEB">
            <w:pPr>
              <w:spacing w:after="0" w:line="240" w:lineRule="auto"/>
              <w:jc w:val="center"/>
              <w:rPr>
                <w:rFonts w:ascii="Times New Roman" w:hAnsi="Times New Roman"/>
                <w:b/>
                <w:lang w:val="uk-UA"/>
              </w:rPr>
            </w:pPr>
            <w:r>
              <w:rPr>
                <w:rFonts w:ascii="Times New Roman" w:hAnsi="Times New Roman"/>
                <w:b/>
                <w:lang w:val="uk-UA"/>
              </w:rPr>
              <w:t>Сучасна ємність</w:t>
            </w:r>
          </w:p>
        </w:tc>
        <w:tc>
          <w:tcPr>
            <w:tcW w:w="1850" w:type="pct"/>
            <w:gridSpan w:val="3"/>
            <w:tcBorders>
              <w:top w:val="single" w:sz="4" w:space="0" w:color="auto"/>
              <w:left w:val="nil"/>
              <w:bottom w:val="single" w:sz="4" w:space="0" w:color="auto"/>
              <w:right w:val="single" w:sz="4" w:space="0" w:color="auto"/>
            </w:tcBorders>
            <w:vAlign w:val="center"/>
            <w:hideMark/>
          </w:tcPr>
          <w:p w:rsidR="001A5FEB" w:rsidRDefault="001A5FEB">
            <w:pPr>
              <w:spacing w:after="0" w:line="240" w:lineRule="auto"/>
              <w:jc w:val="center"/>
              <w:rPr>
                <w:rFonts w:ascii="Times New Roman" w:hAnsi="Times New Roman"/>
                <w:b/>
                <w:lang w:val="uk-UA"/>
              </w:rPr>
            </w:pPr>
            <w:r>
              <w:rPr>
                <w:rFonts w:ascii="Times New Roman" w:hAnsi="Times New Roman"/>
                <w:b/>
                <w:lang w:val="uk-UA"/>
              </w:rPr>
              <w:t>Ресурсний потенціал</w:t>
            </w:r>
          </w:p>
        </w:tc>
      </w:tr>
      <w:tr w:rsidR="001A5FEB" w:rsidTr="001A5FEB">
        <w:trPr>
          <w:trHeight w:val="3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FEB" w:rsidRDefault="001A5FEB">
            <w:pPr>
              <w:spacing w:after="0" w:line="240" w:lineRule="auto"/>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FEB" w:rsidRDefault="001A5FEB">
            <w:pPr>
              <w:spacing w:after="0" w:line="240" w:lineRule="auto"/>
              <w:rPr>
                <w:rFonts w:ascii="Times New Roman" w:hAnsi="Times New Roman"/>
                <w:b/>
                <w:lang w:val="uk-UA"/>
              </w:rPr>
            </w:pP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rsidR="001A5FEB" w:rsidRDefault="001A5FEB">
            <w:pPr>
              <w:spacing w:after="0" w:line="240" w:lineRule="auto"/>
              <w:jc w:val="center"/>
              <w:rPr>
                <w:rFonts w:ascii="Times New Roman" w:hAnsi="Times New Roman"/>
                <w:b/>
                <w:lang w:val="uk-UA"/>
              </w:rPr>
            </w:pPr>
            <w:r>
              <w:rPr>
                <w:rFonts w:ascii="Times New Roman" w:hAnsi="Times New Roman"/>
                <w:b/>
                <w:lang w:val="uk-UA"/>
              </w:rPr>
              <w:t>Всього</w:t>
            </w:r>
          </w:p>
        </w:tc>
        <w:tc>
          <w:tcPr>
            <w:tcW w:w="1337" w:type="pct"/>
            <w:gridSpan w:val="2"/>
            <w:tcBorders>
              <w:top w:val="single" w:sz="4" w:space="0" w:color="auto"/>
              <w:left w:val="nil"/>
              <w:bottom w:val="single" w:sz="4" w:space="0" w:color="auto"/>
              <w:right w:val="single" w:sz="4" w:space="0" w:color="auto"/>
            </w:tcBorders>
            <w:vAlign w:val="center"/>
            <w:hideMark/>
          </w:tcPr>
          <w:p w:rsidR="001A5FEB" w:rsidRDefault="001A5FEB">
            <w:pPr>
              <w:spacing w:after="0" w:line="240" w:lineRule="auto"/>
              <w:jc w:val="center"/>
              <w:rPr>
                <w:rFonts w:ascii="Times New Roman" w:hAnsi="Times New Roman"/>
                <w:b/>
                <w:lang w:val="uk-UA"/>
              </w:rPr>
            </w:pPr>
            <w:r>
              <w:rPr>
                <w:rFonts w:ascii="Times New Roman" w:hAnsi="Times New Roman"/>
                <w:b/>
                <w:lang w:val="uk-UA"/>
              </w:rPr>
              <w:t>В тому числі</w:t>
            </w:r>
          </w:p>
        </w:tc>
        <w:tc>
          <w:tcPr>
            <w:tcW w:w="513" w:type="pct"/>
            <w:vMerge w:val="restart"/>
            <w:tcBorders>
              <w:top w:val="single" w:sz="4" w:space="0" w:color="auto"/>
              <w:left w:val="single" w:sz="4" w:space="0" w:color="auto"/>
              <w:bottom w:val="single" w:sz="4" w:space="0" w:color="auto"/>
              <w:right w:val="single" w:sz="4" w:space="0" w:color="auto"/>
            </w:tcBorders>
            <w:vAlign w:val="center"/>
            <w:hideMark/>
          </w:tcPr>
          <w:p w:rsidR="001A5FEB" w:rsidRDefault="001A5FEB">
            <w:pPr>
              <w:spacing w:after="0" w:line="240" w:lineRule="auto"/>
              <w:jc w:val="center"/>
              <w:rPr>
                <w:rFonts w:ascii="Times New Roman" w:hAnsi="Times New Roman"/>
                <w:b/>
                <w:lang w:val="uk-UA"/>
              </w:rPr>
            </w:pPr>
            <w:r>
              <w:rPr>
                <w:rFonts w:ascii="Times New Roman" w:hAnsi="Times New Roman"/>
                <w:b/>
                <w:lang w:val="uk-UA"/>
              </w:rPr>
              <w:t>Всього</w:t>
            </w:r>
          </w:p>
        </w:tc>
        <w:tc>
          <w:tcPr>
            <w:tcW w:w="1337" w:type="pct"/>
            <w:gridSpan w:val="2"/>
            <w:tcBorders>
              <w:top w:val="single" w:sz="4" w:space="0" w:color="auto"/>
              <w:left w:val="nil"/>
              <w:bottom w:val="single" w:sz="4" w:space="0" w:color="auto"/>
              <w:right w:val="single" w:sz="4" w:space="0" w:color="auto"/>
            </w:tcBorders>
            <w:vAlign w:val="center"/>
            <w:hideMark/>
          </w:tcPr>
          <w:p w:rsidR="001A5FEB" w:rsidRDefault="001A5FEB">
            <w:pPr>
              <w:spacing w:after="0" w:line="240" w:lineRule="auto"/>
              <w:jc w:val="center"/>
              <w:rPr>
                <w:rFonts w:ascii="Times New Roman" w:hAnsi="Times New Roman"/>
                <w:b/>
                <w:lang w:val="uk-UA"/>
              </w:rPr>
            </w:pPr>
            <w:r>
              <w:rPr>
                <w:rFonts w:ascii="Times New Roman" w:hAnsi="Times New Roman"/>
                <w:b/>
                <w:lang w:val="uk-UA"/>
              </w:rPr>
              <w:t>В тому числі</w:t>
            </w:r>
          </w:p>
        </w:tc>
      </w:tr>
      <w:tr w:rsidR="001A5FEB" w:rsidTr="001A5FEB">
        <w:trPr>
          <w:trHeight w:val="51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FEB" w:rsidRDefault="001A5FEB">
            <w:pPr>
              <w:spacing w:after="0" w:line="240" w:lineRule="auto"/>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FEB" w:rsidRDefault="001A5FEB">
            <w:pPr>
              <w:spacing w:after="0" w:line="240" w:lineRule="auto"/>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FEB" w:rsidRDefault="001A5FEB">
            <w:pPr>
              <w:spacing w:after="0" w:line="240" w:lineRule="auto"/>
              <w:rPr>
                <w:rFonts w:ascii="Times New Roman" w:hAnsi="Times New Roman"/>
                <w:b/>
                <w:lang w:val="uk-UA"/>
              </w:rPr>
            </w:pPr>
          </w:p>
        </w:tc>
        <w:tc>
          <w:tcPr>
            <w:tcW w:w="624" w:type="pct"/>
            <w:tcBorders>
              <w:top w:val="single" w:sz="4" w:space="0" w:color="auto"/>
              <w:left w:val="nil"/>
              <w:bottom w:val="single" w:sz="4" w:space="0" w:color="auto"/>
              <w:right w:val="single" w:sz="4" w:space="0" w:color="auto"/>
            </w:tcBorders>
            <w:vAlign w:val="center"/>
            <w:hideMark/>
          </w:tcPr>
          <w:p w:rsidR="001A5FEB" w:rsidRDefault="001A5FEB">
            <w:pPr>
              <w:spacing w:after="0" w:line="240" w:lineRule="auto"/>
              <w:jc w:val="center"/>
              <w:rPr>
                <w:rFonts w:ascii="Times New Roman" w:hAnsi="Times New Roman"/>
                <w:b/>
                <w:lang w:val="uk-UA"/>
              </w:rPr>
            </w:pPr>
            <w:r>
              <w:rPr>
                <w:rFonts w:ascii="Times New Roman" w:hAnsi="Times New Roman"/>
                <w:b/>
                <w:lang w:val="uk-UA"/>
              </w:rPr>
              <w:t>Оздоровчі</w:t>
            </w:r>
          </w:p>
        </w:tc>
        <w:tc>
          <w:tcPr>
            <w:tcW w:w="712" w:type="pct"/>
            <w:tcBorders>
              <w:top w:val="single" w:sz="4" w:space="0" w:color="auto"/>
              <w:left w:val="nil"/>
              <w:bottom w:val="single" w:sz="4" w:space="0" w:color="auto"/>
              <w:right w:val="single" w:sz="4" w:space="0" w:color="auto"/>
            </w:tcBorders>
            <w:vAlign w:val="center"/>
            <w:hideMark/>
          </w:tcPr>
          <w:p w:rsidR="001A5FEB" w:rsidRDefault="001A5FEB">
            <w:pPr>
              <w:spacing w:after="0" w:line="240" w:lineRule="auto"/>
              <w:jc w:val="center"/>
              <w:rPr>
                <w:rFonts w:ascii="Times New Roman" w:hAnsi="Times New Roman"/>
                <w:b/>
                <w:lang w:val="uk-UA"/>
              </w:rPr>
            </w:pPr>
            <w:r>
              <w:rPr>
                <w:rFonts w:ascii="Times New Roman" w:hAnsi="Times New Roman"/>
                <w:b/>
                <w:lang w:val="uk-UA"/>
              </w:rPr>
              <w:t>Рекреаційні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5FEB" w:rsidRDefault="001A5FEB">
            <w:pPr>
              <w:spacing w:after="0" w:line="240" w:lineRule="auto"/>
              <w:rPr>
                <w:rFonts w:ascii="Times New Roman" w:hAnsi="Times New Roman"/>
                <w:b/>
                <w:lang w:val="uk-UA"/>
              </w:rPr>
            </w:pPr>
          </w:p>
        </w:tc>
        <w:tc>
          <w:tcPr>
            <w:tcW w:w="624" w:type="pct"/>
            <w:tcBorders>
              <w:top w:val="single" w:sz="4" w:space="0" w:color="auto"/>
              <w:left w:val="nil"/>
              <w:bottom w:val="single" w:sz="4" w:space="0" w:color="auto"/>
              <w:right w:val="single" w:sz="4" w:space="0" w:color="auto"/>
            </w:tcBorders>
            <w:vAlign w:val="center"/>
            <w:hideMark/>
          </w:tcPr>
          <w:p w:rsidR="001A5FEB" w:rsidRDefault="001A5FEB">
            <w:pPr>
              <w:spacing w:after="0" w:line="240" w:lineRule="auto"/>
              <w:jc w:val="center"/>
              <w:rPr>
                <w:rFonts w:ascii="Times New Roman" w:hAnsi="Times New Roman"/>
                <w:b/>
                <w:lang w:val="uk-UA"/>
              </w:rPr>
            </w:pPr>
            <w:r>
              <w:rPr>
                <w:rFonts w:ascii="Times New Roman" w:hAnsi="Times New Roman"/>
                <w:b/>
                <w:lang w:val="uk-UA"/>
              </w:rPr>
              <w:t>Оздоровчі</w:t>
            </w:r>
          </w:p>
        </w:tc>
        <w:tc>
          <w:tcPr>
            <w:tcW w:w="712" w:type="pct"/>
            <w:tcBorders>
              <w:top w:val="single" w:sz="4" w:space="0" w:color="auto"/>
              <w:left w:val="nil"/>
              <w:bottom w:val="single" w:sz="4" w:space="0" w:color="auto"/>
              <w:right w:val="single" w:sz="4" w:space="0" w:color="auto"/>
            </w:tcBorders>
            <w:vAlign w:val="center"/>
            <w:hideMark/>
          </w:tcPr>
          <w:p w:rsidR="001A5FEB" w:rsidRDefault="001A5FEB">
            <w:pPr>
              <w:spacing w:after="0" w:line="240" w:lineRule="auto"/>
              <w:jc w:val="center"/>
              <w:rPr>
                <w:rFonts w:ascii="Times New Roman" w:hAnsi="Times New Roman"/>
                <w:b/>
                <w:lang w:val="uk-UA"/>
              </w:rPr>
            </w:pPr>
            <w:r>
              <w:rPr>
                <w:rFonts w:ascii="Times New Roman" w:hAnsi="Times New Roman"/>
                <w:b/>
                <w:lang w:val="uk-UA"/>
              </w:rPr>
              <w:t>Рекреаційні</w:t>
            </w:r>
          </w:p>
        </w:tc>
      </w:tr>
      <w:tr w:rsidR="001A5FEB" w:rsidTr="001A5FEB">
        <w:trPr>
          <w:trHeight w:val="315"/>
        </w:trPr>
        <w:tc>
          <w:tcPr>
            <w:tcW w:w="5000" w:type="pct"/>
            <w:gridSpan w:val="8"/>
            <w:tcBorders>
              <w:top w:val="single" w:sz="4" w:space="0" w:color="auto"/>
              <w:left w:val="single" w:sz="4" w:space="0" w:color="auto"/>
              <w:bottom w:val="single" w:sz="4" w:space="0" w:color="auto"/>
              <w:right w:val="single" w:sz="4" w:space="0" w:color="auto"/>
            </w:tcBorders>
          </w:tcPr>
          <w:p w:rsidR="001A5FEB" w:rsidRDefault="001A5FEB">
            <w:pPr>
              <w:spacing w:after="0" w:line="240" w:lineRule="auto"/>
              <w:jc w:val="both"/>
              <w:rPr>
                <w:rFonts w:ascii="Times New Roman" w:hAnsi="Times New Roman"/>
                <w:i/>
                <w:iCs/>
                <w:lang w:val="uk-UA"/>
              </w:rPr>
            </w:pPr>
          </w:p>
          <w:p w:rsidR="001A5FEB" w:rsidRDefault="001A5FEB">
            <w:pPr>
              <w:spacing w:after="0" w:line="240" w:lineRule="auto"/>
              <w:jc w:val="both"/>
              <w:rPr>
                <w:rFonts w:ascii="Times New Roman" w:hAnsi="Times New Roman"/>
                <w:i/>
                <w:iCs/>
                <w:lang w:val="uk-UA"/>
              </w:rPr>
            </w:pPr>
            <w:r>
              <w:rPr>
                <w:rFonts w:ascii="Times New Roman" w:hAnsi="Times New Roman"/>
                <w:i/>
                <w:iCs/>
                <w:lang w:val="uk-UA"/>
              </w:rPr>
              <w:t>ПРИАЗОВСЬКИЙ ПІДРЕГІОН</w:t>
            </w:r>
          </w:p>
        </w:tc>
      </w:tr>
      <w:tr w:rsidR="001A5FEB" w:rsidTr="001A5FEB">
        <w:trPr>
          <w:trHeight w:val="375"/>
        </w:trPr>
        <w:tc>
          <w:tcPr>
            <w:tcW w:w="1302" w:type="pct"/>
            <w:gridSpan w:val="2"/>
            <w:tcBorders>
              <w:top w:val="single" w:sz="4" w:space="0" w:color="auto"/>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Донецька область</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r>
      <w:tr w:rsidR="001A5FEB" w:rsidTr="001A5FEB">
        <w:trPr>
          <w:trHeight w:val="315"/>
        </w:trPr>
        <w:tc>
          <w:tcPr>
            <w:tcW w:w="222" w:type="pct"/>
            <w:tcBorders>
              <w:top w:val="nil"/>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1</w:t>
            </w:r>
          </w:p>
        </w:tc>
        <w:tc>
          <w:tcPr>
            <w:tcW w:w="108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м. Маріуполь</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1045</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1045</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2000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2000</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r>
      <w:tr w:rsidR="001A5FEB" w:rsidTr="001A5FEB">
        <w:trPr>
          <w:trHeight w:val="315"/>
        </w:trPr>
        <w:tc>
          <w:tcPr>
            <w:tcW w:w="222" w:type="pct"/>
            <w:tcBorders>
              <w:top w:val="nil"/>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w:t>
            </w:r>
          </w:p>
        </w:tc>
        <w:tc>
          <w:tcPr>
            <w:tcW w:w="108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Першотравневий р-н</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26190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26190</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40000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40000</w:t>
            </w:r>
          </w:p>
        </w:tc>
      </w:tr>
      <w:tr w:rsidR="001A5FEB" w:rsidTr="001A5FEB">
        <w:trPr>
          <w:trHeight w:val="315"/>
        </w:trPr>
        <w:tc>
          <w:tcPr>
            <w:tcW w:w="222" w:type="pct"/>
            <w:tcBorders>
              <w:top w:val="nil"/>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3</w:t>
            </w:r>
          </w:p>
        </w:tc>
        <w:tc>
          <w:tcPr>
            <w:tcW w:w="108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Новоазовський р-н</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9675</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9675</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30000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30000</w:t>
            </w:r>
          </w:p>
        </w:tc>
      </w:tr>
      <w:tr w:rsidR="001A5FEB" w:rsidTr="001A5FEB">
        <w:trPr>
          <w:trHeight w:val="315"/>
        </w:trPr>
        <w:tc>
          <w:tcPr>
            <w:tcW w:w="222" w:type="pct"/>
            <w:tcBorders>
              <w:top w:val="nil"/>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 </w:t>
            </w:r>
          </w:p>
        </w:tc>
        <w:tc>
          <w:tcPr>
            <w:tcW w:w="108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ВСЬОГО</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36910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1045</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35865</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72000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2000</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70000</w:t>
            </w:r>
          </w:p>
        </w:tc>
      </w:tr>
      <w:tr w:rsidR="001A5FEB" w:rsidTr="001A5FEB">
        <w:trPr>
          <w:trHeight w:val="375"/>
        </w:trPr>
        <w:tc>
          <w:tcPr>
            <w:tcW w:w="1302" w:type="pct"/>
            <w:gridSpan w:val="2"/>
            <w:tcBorders>
              <w:top w:val="single" w:sz="4" w:space="0" w:color="auto"/>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Запорізька область</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r>
      <w:tr w:rsidR="001A5FEB" w:rsidTr="001A5FEB">
        <w:trPr>
          <w:trHeight w:val="315"/>
        </w:trPr>
        <w:tc>
          <w:tcPr>
            <w:tcW w:w="222" w:type="pct"/>
            <w:tcBorders>
              <w:top w:val="nil"/>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1</w:t>
            </w:r>
          </w:p>
        </w:tc>
        <w:tc>
          <w:tcPr>
            <w:tcW w:w="108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м. Бердянськ</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12950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2450</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10500</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98000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3000</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95000</w:t>
            </w:r>
          </w:p>
        </w:tc>
      </w:tr>
      <w:tr w:rsidR="001A5FEB" w:rsidTr="001A5FEB">
        <w:trPr>
          <w:trHeight w:val="315"/>
        </w:trPr>
        <w:tc>
          <w:tcPr>
            <w:tcW w:w="222" w:type="pct"/>
            <w:tcBorders>
              <w:top w:val="nil"/>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w:t>
            </w:r>
          </w:p>
        </w:tc>
        <w:tc>
          <w:tcPr>
            <w:tcW w:w="108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Бердянський р-н</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2180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2180</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20000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20000</w:t>
            </w:r>
          </w:p>
        </w:tc>
      </w:tr>
      <w:tr w:rsidR="001A5FEB" w:rsidTr="001A5FEB">
        <w:trPr>
          <w:trHeight w:val="315"/>
        </w:trPr>
        <w:tc>
          <w:tcPr>
            <w:tcW w:w="222" w:type="pct"/>
            <w:tcBorders>
              <w:top w:val="nil"/>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3</w:t>
            </w:r>
          </w:p>
        </w:tc>
        <w:tc>
          <w:tcPr>
            <w:tcW w:w="108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Приморський р-н</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9170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9170</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40000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40000</w:t>
            </w:r>
          </w:p>
        </w:tc>
      </w:tr>
      <w:tr w:rsidR="001A5FEB" w:rsidTr="001A5FEB">
        <w:trPr>
          <w:trHeight w:val="315"/>
        </w:trPr>
        <w:tc>
          <w:tcPr>
            <w:tcW w:w="222" w:type="pct"/>
            <w:tcBorders>
              <w:top w:val="nil"/>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4</w:t>
            </w:r>
          </w:p>
        </w:tc>
        <w:tc>
          <w:tcPr>
            <w:tcW w:w="108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Приазовський р-н</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2750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2750</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15000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15000</w:t>
            </w:r>
          </w:p>
        </w:tc>
      </w:tr>
      <w:tr w:rsidR="001A5FEB" w:rsidTr="001A5FEB">
        <w:trPr>
          <w:trHeight w:val="315"/>
        </w:trPr>
        <w:tc>
          <w:tcPr>
            <w:tcW w:w="222" w:type="pct"/>
            <w:tcBorders>
              <w:top w:val="nil"/>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5</w:t>
            </w:r>
          </w:p>
        </w:tc>
        <w:tc>
          <w:tcPr>
            <w:tcW w:w="108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Якимівський р-н</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26700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300</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26400</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40000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40000</w:t>
            </w:r>
          </w:p>
        </w:tc>
      </w:tr>
      <w:tr w:rsidR="001A5FEB" w:rsidTr="001A5FEB">
        <w:trPr>
          <w:trHeight w:val="315"/>
        </w:trPr>
        <w:tc>
          <w:tcPr>
            <w:tcW w:w="222" w:type="pct"/>
            <w:tcBorders>
              <w:top w:val="nil"/>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 </w:t>
            </w:r>
          </w:p>
        </w:tc>
        <w:tc>
          <w:tcPr>
            <w:tcW w:w="108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ВСЬОГО</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53750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2750</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51000</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213000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3000</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210000</w:t>
            </w:r>
          </w:p>
        </w:tc>
      </w:tr>
      <w:tr w:rsidR="001A5FEB" w:rsidTr="001A5FEB">
        <w:trPr>
          <w:trHeight w:val="375"/>
        </w:trPr>
        <w:tc>
          <w:tcPr>
            <w:tcW w:w="1302" w:type="pct"/>
            <w:gridSpan w:val="2"/>
            <w:tcBorders>
              <w:top w:val="single" w:sz="4" w:space="0" w:color="auto"/>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Херсонська область</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r>
      <w:tr w:rsidR="001A5FEB" w:rsidTr="001A5FEB">
        <w:trPr>
          <w:trHeight w:val="315"/>
        </w:trPr>
        <w:tc>
          <w:tcPr>
            <w:tcW w:w="222" w:type="pct"/>
            <w:tcBorders>
              <w:top w:val="nil"/>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1</w:t>
            </w:r>
          </w:p>
        </w:tc>
        <w:tc>
          <w:tcPr>
            <w:tcW w:w="108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Генічеський район</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42840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600</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42240</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81900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10900</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71000</w:t>
            </w:r>
          </w:p>
        </w:tc>
      </w:tr>
      <w:tr w:rsidR="001A5FEB" w:rsidTr="001A5FEB">
        <w:trPr>
          <w:trHeight w:val="315"/>
        </w:trPr>
        <w:tc>
          <w:tcPr>
            <w:tcW w:w="222" w:type="pct"/>
            <w:tcBorders>
              <w:top w:val="nil"/>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lang w:val="uk-UA"/>
              </w:rPr>
            </w:pPr>
            <w:r>
              <w:rPr>
                <w:rFonts w:ascii="Times New Roman" w:hAnsi="Times New Roman"/>
                <w:lang w:val="uk-UA"/>
              </w:rPr>
              <w:t> </w:t>
            </w:r>
          </w:p>
        </w:tc>
        <w:tc>
          <w:tcPr>
            <w:tcW w:w="108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ВСЬОГО</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42840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600</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42240</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81900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10900</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71000</w:t>
            </w:r>
          </w:p>
        </w:tc>
      </w:tr>
      <w:tr w:rsidR="001A5FEB" w:rsidTr="001A5FEB">
        <w:trPr>
          <w:trHeight w:val="330"/>
        </w:trPr>
        <w:tc>
          <w:tcPr>
            <w:tcW w:w="1302" w:type="pct"/>
            <w:gridSpan w:val="2"/>
            <w:tcBorders>
              <w:top w:val="single" w:sz="4" w:space="0" w:color="auto"/>
              <w:left w:val="single" w:sz="4" w:space="0" w:color="auto"/>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ВСЬОГО ПО ПІДРЕГІОНУ</w:t>
            </w:r>
          </w:p>
        </w:tc>
        <w:tc>
          <w:tcPr>
            <w:tcW w:w="511"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133500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4395</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129105</w:t>
            </w:r>
          </w:p>
        </w:tc>
        <w:tc>
          <w:tcPr>
            <w:tcW w:w="513"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366900</w:t>
            </w:r>
          </w:p>
        </w:tc>
        <w:tc>
          <w:tcPr>
            <w:tcW w:w="624"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15900</w:t>
            </w:r>
          </w:p>
        </w:tc>
        <w:tc>
          <w:tcPr>
            <w:tcW w:w="712" w:type="pct"/>
            <w:tcBorders>
              <w:top w:val="nil"/>
              <w:left w:val="nil"/>
              <w:bottom w:val="single" w:sz="4" w:space="0" w:color="auto"/>
              <w:right w:val="single" w:sz="4" w:space="0" w:color="auto"/>
            </w:tcBorders>
            <w:hideMark/>
          </w:tcPr>
          <w:p w:rsidR="001A5FEB" w:rsidRDefault="001A5FEB">
            <w:pPr>
              <w:spacing w:after="0" w:line="240" w:lineRule="auto"/>
              <w:jc w:val="both"/>
              <w:rPr>
                <w:rFonts w:ascii="Times New Roman" w:hAnsi="Times New Roman"/>
                <w:bCs/>
                <w:lang w:val="uk-UA"/>
              </w:rPr>
            </w:pPr>
            <w:r>
              <w:rPr>
                <w:rFonts w:ascii="Times New Roman" w:hAnsi="Times New Roman"/>
                <w:bCs/>
                <w:lang w:val="uk-UA"/>
              </w:rPr>
              <w:t>351000</w:t>
            </w:r>
          </w:p>
        </w:tc>
      </w:tr>
    </w:tbl>
    <w:p w:rsidR="001A5FEB" w:rsidRDefault="001A5FEB" w:rsidP="001A5FEB">
      <w:pPr>
        <w:spacing w:after="0" w:line="360" w:lineRule="auto"/>
        <w:ind w:firstLine="709"/>
        <w:jc w:val="both"/>
        <w:rPr>
          <w:rFonts w:ascii="Times New Roman" w:hAnsi="Times New Roman"/>
          <w:sz w:val="26"/>
          <w:szCs w:val="26"/>
          <w:lang w:val="uk-UA"/>
        </w:rPr>
      </w:pPr>
    </w:p>
    <w:p w:rsidR="001A5FEB" w:rsidRDefault="001A5FEB" w:rsidP="001A5FEB">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В процесі розробки схеми планування території узбережжя Чорного та Азовського морів були вирішені важливі містобудівні задачі, які дозволяють визначити стратегічні напрямки територіального розвитку Приморського регіону та узбережжя Чорного та Азовського морів, окреслене коло практичних завдань, які мають бути вирішені впродовж 2007-2020 рр. на загальнодержавному та регіональному рівнях.</w:t>
      </w:r>
    </w:p>
    <w:p w:rsidR="001A5FEB" w:rsidRDefault="001A5FEB" w:rsidP="001A5FEB">
      <w:pPr>
        <w:numPr>
          <w:ilvl w:val="0"/>
          <w:numId w:val="2"/>
        </w:numPr>
        <w:tabs>
          <w:tab w:val="clear" w:pos="720"/>
          <w:tab w:val="num" w:pos="108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 xml:space="preserve">Виділені межі Приморського регіону України, до якого включені приморські адміністративно-територіальні одиниці Одеської, Миколаївської, Херсонської, Запорізької, Донецької областей, Автономної Республіки Крим та </w:t>
      </w:r>
      <w:r>
        <w:rPr>
          <w:rFonts w:ascii="Times New Roman" w:hAnsi="Times New Roman"/>
          <w:sz w:val="26"/>
          <w:szCs w:val="26"/>
          <w:lang w:val="uk-UA"/>
        </w:rPr>
        <w:lastRenderedPageBreak/>
        <w:t>місто Севастополь. Загальна кількість цих АТО складає 59, площа Приморського регіону становить 59,2 тис.км</w:t>
      </w:r>
      <w:r>
        <w:rPr>
          <w:rFonts w:ascii="Times New Roman" w:hAnsi="Times New Roman"/>
          <w:sz w:val="26"/>
          <w:szCs w:val="26"/>
          <w:vertAlign w:val="superscript"/>
          <w:lang w:val="uk-UA"/>
        </w:rPr>
        <w:t>2</w:t>
      </w:r>
      <w:r>
        <w:rPr>
          <w:rFonts w:ascii="Times New Roman" w:hAnsi="Times New Roman"/>
          <w:sz w:val="26"/>
          <w:szCs w:val="26"/>
          <w:lang w:val="uk-UA"/>
        </w:rPr>
        <w:t xml:space="preserve"> (9,8% площі України).</w:t>
      </w:r>
    </w:p>
    <w:p w:rsidR="001A5FEB" w:rsidRDefault="001A5FEB" w:rsidP="001A5FEB">
      <w:pPr>
        <w:numPr>
          <w:ilvl w:val="0"/>
          <w:numId w:val="2"/>
        </w:numPr>
        <w:tabs>
          <w:tab w:val="clear" w:pos="720"/>
          <w:tab w:val="num" w:pos="108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Удосконалена система розселення приморського регіону. Центрами міжрайонних систем розселення, які є головною ланкою розвитку міжселенного обслуговування виступають міста: Ізмаїл, Одеса, Миколаїв, Херсон. Сімферополь, Севастополь, Ялта, Феодосія та Керч, Євпаторія, Джанкой, Генічеськ, Мелітополь, Бердянськ та Маріуполь.</w:t>
      </w:r>
    </w:p>
    <w:p w:rsidR="001A5FEB" w:rsidRDefault="001A5FEB" w:rsidP="001A5FEB">
      <w:pPr>
        <w:numPr>
          <w:ilvl w:val="0"/>
          <w:numId w:val="2"/>
        </w:numPr>
        <w:tabs>
          <w:tab w:val="clear" w:pos="720"/>
          <w:tab w:val="num" w:pos="108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У межах Приморського регіону виділене узбережжя Чорного та Азовського морів, зовнішня межа якого окреслюється розмірами водоохоронної зони (</w:t>
      </w:r>
      <w:smartTag w:uri="urn:schemas-microsoft-com:office:smarttags" w:element="metricconverter">
        <w:smartTagPr>
          <w:attr w:name="ProductID" w:val="2 км"/>
        </w:smartTagPr>
        <w:r>
          <w:rPr>
            <w:rFonts w:ascii="Times New Roman" w:hAnsi="Times New Roman"/>
            <w:sz w:val="26"/>
            <w:szCs w:val="26"/>
            <w:lang w:val="uk-UA"/>
          </w:rPr>
          <w:t>2 км</w:t>
        </w:r>
      </w:smartTag>
      <w:r>
        <w:rPr>
          <w:rFonts w:ascii="Times New Roman" w:hAnsi="Times New Roman"/>
          <w:sz w:val="26"/>
          <w:szCs w:val="26"/>
          <w:lang w:val="uk-UA"/>
        </w:rPr>
        <w:t>). Використання зони узбережжя Чорного та Азовського морів пропонується в проекті переважно для рекреаційно-оздоровчих цілей.</w:t>
      </w:r>
    </w:p>
    <w:p w:rsidR="001A5FEB" w:rsidRDefault="001A5FEB" w:rsidP="001A5FEB">
      <w:pPr>
        <w:numPr>
          <w:ilvl w:val="0"/>
          <w:numId w:val="2"/>
        </w:numPr>
        <w:tabs>
          <w:tab w:val="clear" w:pos="720"/>
          <w:tab w:val="num" w:pos="108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У схемі планування визначені розміри територій, які необхідно резервувати виключно для розміщення рекреаційно-оздоровчих закладів. Загальна площа цих територій складає 88,9 тис. га, в тому числі:</w:t>
      </w:r>
    </w:p>
    <w:p w:rsidR="001A5FEB" w:rsidRDefault="001A5FEB" w:rsidP="001A5FEB">
      <w:pPr>
        <w:numPr>
          <w:ilvl w:val="0"/>
          <w:numId w:val="3"/>
        </w:numPr>
        <w:tabs>
          <w:tab w:val="clear" w:pos="720"/>
          <w:tab w:val="num" w:pos="108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у Причорноморському підрегіоні – 30,1 тис. га;</w:t>
      </w:r>
    </w:p>
    <w:p w:rsidR="001A5FEB" w:rsidRDefault="001A5FEB" w:rsidP="001A5FEB">
      <w:pPr>
        <w:numPr>
          <w:ilvl w:val="0"/>
          <w:numId w:val="3"/>
        </w:numPr>
        <w:tabs>
          <w:tab w:val="clear" w:pos="720"/>
          <w:tab w:val="num" w:pos="108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у Приазовському регіоні – 13,8 тис. га;</w:t>
      </w:r>
    </w:p>
    <w:p w:rsidR="001A5FEB" w:rsidRDefault="001A5FEB" w:rsidP="001A5FEB">
      <w:pPr>
        <w:numPr>
          <w:ilvl w:val="0"/>
          <w:numId w:val="3"/>
        </w:numPr>
        <w:tabs>
          <w:tab w:val="clear" w:pos="720"/>
          <w:tab w:val="num" w:pos="108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у Кримському підрегіоні – 45 тис. га.</w:t>
      </w:r>
    </w:p>
    <w:p w:rsidR="001A5FEB" w:rsidRDefault="001A5FEB" w:rsidP="001A5FEB">
      <w:pPr>
        <w:numPr>
          <w:ilvl w:val="0"/>
          <w:numId w:val="2"/>
        </w:numPr>
        <w:tabs>
          <w:tab w:val="clear" w:pos="720"/>
          <w:tab w:val="num" w:pos="108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 xml:space="preserve">Здійснена структуризація прибережних територій у межах усього регіону в частині визначення курортно-рекреаційних зон, а також рекреаційних районів з виділенням їх центрів. </w:t>
      </w:r>
    </w:p>
    <w:p w:rsidR="001A5FEB" w:rsidRDefault="001A5FEB" w:rsidP="001A5FEB">
      <w:pPr>
        <w:numPr>
          <w:ilvl w:val="0"/>
          <w:numId w:val="2"/>
        </w:numPr>
        <w:tabs>
          <w:tab w:val="clear" w:pos="720"/>
          <w:tab w:val="num" w:pos="108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Визначені показники порогового рівня одночасного прийому організованих відпочиваючих у регіонні, що складає 3 млн. осіб, у тому числі:</w:t>
      </w:r>
    </w:p>
    <w:p w:rsidR="001A5FEB" w:rsidRDefault="001A5FEB" w:rsidP="001A5FEB">
      <w:pPr>
        <w:numPr>
          <w:ilvl w:val="0"/>
          <w:numId w:val="4"/>
        </w:numPr>
        <w:tabs>
          <w:tab w:val="clear" w:pos="0"/>
          <w:tab w:val="left" w:pos="1080"/>
        </w:tabs>
        <w:spacing w:after="0" w:line="360" w:lineRule="auto"/>
        <w:jc w:val="both"/>
        <w:rPr>
          <w:rFonts w:ascii="Times New Roman" w:hAnsi="Times New Roman"/>
          <w:sz w:val="26"/>
          <w:szCs w:val="26"/>
          <w:lang w:val="uk-UA"/>
        </w:rPr>
      </w:pPr>
      <w:r>
        <w:rPr>
          <w:rFonts w:ascii="Times New Roman" w:hAnsi="Times New Roman"/>
          <w:sz w:val="26"/>
          <w:szCs w:val="26"/>
          <w:lang w:val="uk-UA"/>
        </w:rPr>
        <w:t>у Причорноморському підрегіоні – 1,1 млн.осіб;</w:t>
      </w:r>
    </w:p>
    <w:p w:rsidR="001A5FEB" w:rsidRDefault="001A5FEB" w:rsidP="001A5FEB">
      <w:pPr>
        <w:numPr>
          <w:ilvl w:val="0"/>
          <w:numId w:val="4"/>
        </w:numPr>
        <w:tabs>
          <w:tab w:val="clear" w:pos="0"/>
          <w:tab w:val="left" w:pos="1080"/>
        </w:tabs>
        <w:spacing w:after="0" w:line="360" w:lineRule="auto"/>
        <w:jc w:val="both"/>
        <w:rPr>
          <w:rFonts w:ascii="Times New Roman" w:hAnsi="Times New Roman"/>
          <w:sz w:val="26"/>
          <w:szCs w:val="26"/>
          <w:lang w:val="uk-UA"/>
        </w:rPr>
      </w:pPr>
      <w:r>
        <w:rPr>
          <w:rFonts w:ascii="Times New Roman" w:hAnsi="Times New Roman"/>
          <w:sz w:val="26"/>
          <w:szCs w:val="26"/>
          <w:lang w:val="uk-UA"/>
        </w:rPr>
        <w:t>у Приазовському регіоні – 0,4 тис. осіб;</w:t>
      </w:r>
    </w:p>
    <w:p w:rsidR="001A5FEB" w:rsidRDefault="001A5FEB" w:rsidP="001A5FEB">
      <w:pPr>
        <w:numPr>
          <w:ilvl w:val="0"/>
          <w:numId w:val="4"/>
        </w:numPr>
        <w:tabs>
          <w:tab w:val="clear" w:pos="0"/>
          <w:tab w:val="left" w:pos="1080"/>
        </w:tabs>
        <w:spacing w:after="0" w:line="360" w:lineRule="auto"/>
        <w:jc w:val="both"/>
        <w:rPr>
          <w:rFonts w:ascii="Times New Roman" w:hAnsi="Times New Roman"/>
          <w:sz w:val="26"/>
          <w:szCs w:val="26"/>
          <w:lang w:val="uk-UA"/>
        </w:rPr>
      </w:pPr>
      <w:r>
        <w:rPr>
          <w:rFonts w:ascii="Times New Roman" w:hAnsi="Times New Roman"/>
          <w:sz w:val="26"/>
          <w:szCs w:val="26"/>
          <w:lang w:val="uk-UA"/>
        </w:rPr>
        <w:t>у Кримському підрегіоні – 1,5 млн. осіб..</w:t>
      </w:r>
    </w:p>
    <w:p w:rsidR="001A5FEB" w:rsidRDefault="001A5FEB" w:rsidP="001A5FEB">
      <w:pPr>
        <w:numPr>
          <w:ilvl w:val="0"/>
          <w:numId w:val="2"/>
        </w:numPr>
        <w:tabs>
          <w:tab w:val="clear" w:pos="720"/>
          <w:tab w:val="num" w:pos="108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Визначена планувальна структура Приморського регіону, основним елементом якої є Міжнародний транспортний коридор ЧЕС, який пройде у широтному напрямку на відстані 10-</w:t>
      </w:r>
      <w:smartTag w:uri="urn:schemas-microsoft-com:office:smarttags" w:element="metricconverter">
        <w:smartTagPr>
          <w:attr w:name="ProductID" w:val="20 км"/>
        </w:smartTagPr>
        <w:r>
          <w:rPr>
            <w:rFonts w:ascii="Times New Roman" w:hAnsi="Times New Roman"/>
            <w:sz w:val="26"/>
            <w:szCs w:val="26"/>
            <w:lang w:val="uk-UA"/>
          </w:rPr>
          <w:t>20 км</w:t>
        </w:r>
      </w:smartTag>
      <w:r>
        <w:rPr>
          <w:rFonts w:ascii="Times New Roman" w:hAnsi="Times New Roman"/>
          <w:sz w:val="26"/>
          <w:szCs w:val="26"/>
          <w:lang w:val="uk-UA"/>
        </w:rPr>
        <w:t xml:space="preserve"> вздовж узбережжя Чорного та Азовського морів з відгалуженням на Кримський півострів.</w:t>
      </w:r>
    </w:p>
    <w:p w:rsidR="001A5FEB" w:rsidRDefault="001A5FEB" w:rsidP="001A5FEB">
      <w:pPr>
        <w:numPr>
          <w:ilvl w:val="0"/>
          <w:numId w:val="2"/>
        </w:numPr>
        <w:tabs>
          <w:tab w:val="clear" w:pos="720"/>
          <w:tab w:val="num" w:pos="108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Здійснене коригування трас міжнародних транспортних коридорів в ув'язці з національною та регіональною мережею автомобільних доріг, а також залізничного, морського та авіаційного сполучення.</w:t>
      </w:r>
    </w:p>
    <w:p w:rsidR="001A5FEB" w:rsidRDefault="001A5FEB" w:rsidP="001A5FEB">
      <w:pPr>
        <w:numPr>
          <w:ilvl w:val="0"/>
          <w:numId w:val="2"/>
        </w:numPr>
        <w:tabs>
          <w:tab w:val="clear" w:pos="720"/>
          <w:tab w:val="num" w:pos="108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lastRenderedPageBreak/>
        <w:t>Проведена типізація міських населених пунктів за господарськими функціями. Виділені наступні функціонально-господарські типи :</w:t>
      </w:r>
    </w:p>
    <w:p w:rsidR="001A5FEB" w:rsidRDefault="001A5FEB" w:rsidP="001A5FEB">
      <w:pPr>
        <w:numPr>
          <w:ilvl w:val="0"/>
          <w:numId w:val="5"/>
        </w:numPr>
        <w:tabs>
          <w:tab w:val="clear" w:pos="0"/>
          <w:tab w:val="left" w:pos="1080"/>
        </w:tabs>
        <w:spacing w:after="0" w:line="360" w:lineRule="auto"/>
        <w:jc w:val="both"/>
        <w:rPr>
          <w:rFonts w:ascii="Times New Roman" w:hAnsi="Times New Roman"/>
          <w:sz w:val="26"/>
          <w:szCs w:val="26"/>
          <w:lang w:val="uk-UA"/>
        </w:rPr>
      </w:pPr>
      <w:r>
        <w:rPr>
          <w:rFonts w:ascii="Times New Roman" w:hAnsi="Times New Roman"/>
          <w:sz w:val="26"/>
          <w:szCs w:val="26"/>
          <w:lang w:val="uk-UA"/>
        </w:rPr>
        <w:t>багатофункціональний (Одеса, Миколаїв, Херсон, Севастополь, Сімферополь, Феодосія, Джанкой, Генічеськ, Бердянськ, Маріуполь);</w:t>
      </w:r>
    </w:p>
    <w:p w:rsidR="001A5FEB" w:rsidRDefault="001A5FEB" w:rsidP="001A5FEB">
      <w:pPr>
        <w:numPr>
          <w:ilvl w:val="0"/>
          <w:numId w:val="5"/>
        </w:numPr>
        <w:tabs>
          <w:tab w:val="clear" w:pos="0"/>
          <w:tab w:val="left" w:pos="1080"/>
        </w:tabs>
        <w:spacing w:after="0" w:line="360" w:lineRule="auto"/>
        <w:jc w:val="both"/>
        <w:rPr>
          <w:rFonts w:ascii="Times New Roman" w:hAnsi="Times New Roman"/>
          <w:sz w:val="26"/>
          <w:szCs w:val="26"/>
          <w:lang w:val="uk-UA"/>
        </w:rPr>
      </w:pPr>
      <w:r>
        <w:rPr>
          <w:rFonts w:ascii="Times New Roman" w:hAnsi="Times New Roman"/>
          <w:sz w:val="26"/>
          <w:szCs w:val="26"/>
          <w:lang w:val="uk-UA"/>
        </w:rPr>
        <w:t>рекреаційний (Євпаторія, Ялта, Алушта, Судак, Скадовськ, Кирилівка тощо);</w:t>
      </w:r>
    </w:p>
    <w:p w:rsidR="001A5FEB" w:rsidRDefault="001A5FEB" w:rsidP="001A5FEB">
      <w:pPr>
        <w:numPr>
          <w:ilvl w:val="0"/>
          <w:numId w:val="5"/>
        </w:numPr>
        <w:tabs>
          <w:tab w:val="clear" w:pos="0"/>
          <w:tab w:val="left" w:pos="1080"/>
        </w:tabs>
        <w:spacing w:after="0" w:line="360" w:lineRule="auto"/>
        <w:jc w:val="both"/>
        <w:rPr>
          <w:rFonts w:ascii="Times New Roman" w:hAnsi="Times New Roman"/>
          <w:sz w:val="26"/>
          <w:szCs w:val="26"/>
          <w:lang w:val="uk-UA"/>
        </w:rPr>
      </w:pPr>
      <w:r>
        <w:rPr>
          <w:rFonts w:ascii="Times New Roman" w:hAnsi="Times New Roman"/>
          <w:sz w:val="26"/>
          <w:szCs w:val="26"/>
          <w:lang w:val="uk-UA"/>
        </w:rPr>
        <w:t>промисловий (Армянськ, Красноперекопськ, Мелітополь);</w:t>
      </w:r>
    </w:p>
    <w:p w:rsidR="001A5FEB" w:rsidRDefault="001A5FEB" w:rsidP="001A5FEB">
      <w:pPr>
        <w:numPr>
          <w:ilvl w:val="0"/>
          <w:numId w:val="5"/>
        </w:numPr>
        <w:tabs>
          <w:tab w:val="clear" w:pos="0"/>
          <w:tab w:val="left" w:pos="1080"/>
        </w:tabs>
        <w:spacing w:after="0" w:line="360" w:lineRule="auto"/>
        <w:jc w:val="both"/>
        <w:rPr>
          <w:rFonts w:ascii="Times New Roman" w:hAnsi="Times New Roman"/>
          <w:sz w:val="26"/>
          <w:szCs w:val="26"/>
          <w:lang w:val="uk-UA"/>
        </w:rPr>
      </w:pPr>
      <w:r>
        <w:rPr>
          <w:rFonts w:ascii="Times New Roman" w:hAnsi="Times New Roman"/>
          <w:sz w:val="26"/>
          <w:szCs w:val="26"/>
          <w:lang w:val="uk-UA"/>
        </w:rPr>
        <w:t>портовий (Рені, Очаків);</w:t>
      </w:r>
    </w:p>
    <w:p w:rsidR="001A5FEB" w:rsidRDefault="001A5FEB" w:rsidP="001A5FEB">
      <w:pPr>
        <w:numPr>
          <w:ilvl w:val="0"/>
          <w:numId w:val="5"/>
        </w:numPr>
        <w:tabs>
          <w:tab w:val="clear" w:pos="0"/>
          <w:tab w:val="left" w:pos="1080"/>
        </w:tabs>
        <w:spacing w:after="0" w:line="360" w:lineRule="auto"/>
        <w:jc w:val="both"/>
        <w:rPr>
          <w:rFonts w:ascii="Times New Roman" w:hAnsi="Times New Roman"/>
          <w:sz w:val="26"/>
          <w:szCs w:val="26"/>
          <w:lang w:val="uk-UA"/>
        </w:rPr>
      </w:pPr>
      <w:r>
        <w:rPr>
          <w:rFonts w:ascii="Times New Roman" w:hAnsi="Times New Roman"/>
          <w:sz w:val="26"/>
          <w:szCs w:val="26"/>
          <w:lang w:val="uk-UA"/>
        </w:rPr>
        <w:t>портово-промисловий (Ізмаїл, Іллічівськ, Южне, Керч);</w:t>
      </w:r>
    </w:p>
    <w:p w:rsidR="001A5FEB" w:rsidRDefault="001A5FEB" w:rsidP="001A5FEB">
      <w:pPr>
        <w:numPr>
          <w:ilvl w:val="0"/>
          <w:numId w:val="5"/>
        </w:numPr>
        <w:tabs>
          <w:tab w:val="clear" w:pos="0"/>
          <w:tab w:val="left" w:pos="1080"/>
        </w:tabs>
        <w:spacing w:after="0" w:line="360" w:lineRule="auto"/>
        <w:jc w:val="both"/>
        <w:rPr>
          <w:rFonts w:ascii="Times New Roman" w:hAnsi="Times New Roman"/>
          <w:sz w:val="26"/>
          <w:szCs w:val="26"/>
          <w:lang w:val="uk-UA"/>
        </w:rPr>
      </w:pPr>
      <w:r>
        <w:rPr>
          <w:rFonts w:ascii="Times New Roman" w:hAnsi="Times New Roman"/>
          <w:sz w:val="26"/>
          <w:szCs w:val="26"/>
          <w:lang w:val="uk-UA"/>
        </w:rPr>
        <w:t>агропромисловий (Березанка, Бахчисарай, Каланчак, Приазовське тощо);</w:t>
      </w:r>
    </w:p>
    <w:p w:rsidR="001A5FEB" w:rsidRDefault="001A5FEB" w:rsidP="001A5FEB">
      <w:pPr>
        <w:numPr>
          <w:ilvl w:val="0"/>
          <w:numId w:val="5"/>
        </w:numPr>
        <w:tabs>
          <w:tab w:val="clear" w:pos="0"/>
          <w:tab w:val="left" w:pos="1080"/>
        </w:tabs>
        <w:spacing w:after="0" w:line="360" w:lineRule="auto"/>
        <w:jc w:val="both"/>
        <w:rPr>
          <w:rFonts w:ascii="Times New Roman" w:hAnsi="Times New Roman"/>
          <w:sz w:val="26"/>
          <w:szCs w:val="26"/>
          <w:lang w:val="uk-UA"/>
        </w:rPr>
      </w:pPr>
      <w:r>
        <w:rPr>
          <w:rFonts w:ascii="Times New Roman" w:hAnsi="Times New Roman"/>
          <w:sz w:val="26"/>
          <w:szCs w:val="26"/>
          <w:lang w:val="uk-UA"/>
        </w:rPr>
        <w:t>приміський обслуговуючий (Теплодар, Комінтернівське, Аерофлотський тощо);</w:t>
      </w:r>
    </w:p>
    <w:p w:rsidR="001A5FEB" w:rsidRDefault="001A5FEB" w:rsidP="001A5FEB">
      <w:pPr>
        <w:numPr>
          <w:ilvl w:val="0"/>
          <w:numId w:val="5"/>
        </w:numPr>
        <w:tabs>
          <w:tab w:val="clear" w:pos="0"/>
          <w:tab w:val="left" w:pos="1080"/>
        </w:tabs>
        <w:spacing w:after="0" w:line="360" w:lineRule="auto"/>
        <w:jc w:val="both"/>
        <w:rPr>
          <w:rFonts w:ascii="Times New Roman" w:hAnsi="Times New Roman"/>
          <w:sz w:val="26"/>
          <w:szCs w:val="26"/>
          <w:lang w:val="uk-UA"/>
        </w:rPr>
      </w:pPr>
      <w:r>
        <w:rPr>
          <w:rFonts w:ascii="Times New Roman" w:hAnsi="Times New Roman"/>
          <w:sz w:val="26"/>
          <w:szCs w:val="26"/>
          <w:lang w:val="uk-UA"/>
        </w:rPr>
        <w:t>агропромислово-рекреаційний (Білгород-Дністровський, Татарбунари, Приморськ, Новоазовськ).</w:t>
      </w:r>
    </w:p>
    <w:p w:rsidR="001A5FEB" w:rsidRDefault="001A5FEB" w:rsidP="001A5FEB">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Зазначені пропозиції є основою для планування і розвитку унікальної системи, якою є Арабатська стрілка – переважного розвитку тут курортно-рекреаційної інфраструктури, встановлення обмежень на використання територій Приморського регіону та забезпечення регіону транспортною інфраструктурою.</w:t>
      </w:r>
    </w:p>
    <w:p w:rsidR="00000000" w:rsidRDefault="001A5FEB"/>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17C8A"/>
    <w:multiLevelType w:val="hybridMultilevel"/>
    <w:tmpl w:val="2F8EAF5A"/>
    <w:lvl w:ilvl="0" w:tplc="D8B4ED66">
      <w:start w:val="1"/>
      <w:numFmt w:val="bullet"/>
      <w:lvlText w:val="-"/>
      <w:lvlJc w:val="left"/>
      <w:pPr>
        <w:tabs>
          <w:tab w:val="num" w:pos="0"/>
        </w:tabs>
        <w:ind w:left="0"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673F76"/>
    <w:multiLevelType w:val="hybridMultilevel"/>
    <w:tmpl w:val="A4D8A5CC"/>
    <w:lvl w:ilvl="0" w:tplc="57DE3EE8">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75792E"/>
    <w:multiLevelType w:val="hybridMultilevel"/>
    <w:tmpl w:val="F6FE23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201360"/>
    <w:multiLevelType w:val="hybridMultilevel"/>
    <w:tmpl w:val="E8548A24"/>
    <w:lvl w:ilvl="0" w:tplc="D8B4ED66">
      <w:start w:val="1"/>
      <w:numFmt w:val="bullet"/>
      <w:lvlText w:val="-"/>
      <w:lvlJc w:val="left"/>
      <w:pPr>
        <w:tabs>
          <w:tab w:val="num" w:pos="0"/>
        </w:tabs>
        <w:ind w:left="0" w:firstLine="70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46056B4"/>
    <w:multiLevelType w:val="hybridMultilevel"/>
    <w:tmpl w:val="F626D4C4"/>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1A5FEB"/>
    <w:rsid w:val="001A5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A5FEB"/>
    <w:pPr>
      <w:spacing w:after="120" w:line="240" w:lineRule="auto"/>
    </w:pPr>
    <w:rPr>
      <w:rFonts w:ascii="Times New Roman" w:eastAsia="Times New Roman" w:hAnsi="Times New Roman" w:cs="Times New Roman"/>
      <w:b/>
      <w:sz w:val="24"/>
      <w:szCs w:val="24"/>
    </w:rPr>
  </w:style>
  <w:style w:type="character" w:customStyle="1" w:styleId="a4">
    <w:name w:val="Основной текст Знак"/>
    <w:basedOn w:val="a0"/>
    <w:link w:val="a3"/>
    <w:uiPriority w:val="99"/>
    <w:semiHidden/>
    <w:rsid w:val="001A5FEB"/>
    <w:rPr>
      <w:rFonts w:ascii="Times New Roman" w:eastAsia="Times New Roman" w:hAnsi="Times New Roman" w:cs="Times New Roman"/>
      <w:b/>
      <w:sz w:val="24"/>
      <w:szCs w:val="24"/>
    </w:rPr>
  </w:style>
  <w:style w:type="character" w:customStyle="1" w:styleId="1">
    <w:name w:val="Основной текст с отступом Знак1"/>
    <w:aliases w:val="Знак2 Знак Знак,Знак2 Знак1 Знак"/>
    <w:link w:val="a5"/>
    <w:uiPriority w:val="99"/>
    <w:semiHidden/>
    <w:locked/>
    <w:rsid w:val="001A5FEB"/>
    <w:rPr>
      <w:rFonts w:ascii="Times New Roman" w:eastAsia="Times New Roman" w:hAnsi="Times New Roman" w:cs="Times New Roman"/>
      <w:b/>
      <w:sz w:val="24"/>
      <w:szCs w:val="24"/>
    </w:rPr>
  </w:style>
  <w:style w:type="paragraph" w:styleId="a5">
    <w:name w:val="Body Text Indent"/>
    <w:aliases w:val="Знак2 Знак,Знак2 Знак1"/>
    <w:basedOn w:val="a"/>
    <w:link w:val="1"/>
    <w:uiPriority w:val="99"/>
    <w:semiHidden/>
    <w:unhideWhenUsed/>
    <w:rsid w:val="001A5FEB"/>
    <w:pPr>
      <w:spacing w:after="120" w:line="240" w:lineRule="auto"/>
      <w:ind w:left="283"/>
    </w:pPr>
    <w:rPr>
      <w:rFonts w:ascii="Times New Roman" w:eastAsia="Times New Roman" w:hAnsi="Times New Roman" w:cs="Times New Roman"/>
      <w:b/>
      <w:sz w:val="24"/>
      <w:szCs w:val="24"/>
    </w:rPr>
  </w:style>
  <w:style w:type="character" w:customStyle="1" w:styleId="a6">
    <w:name w:val="Основной текст с отступом Знак"/>
    <w:basedOn w:val="a0"/>
    <w:link w:val="a5"/>
    <w:uiPriority w:val="99"/>
    <w:semiHidden/>
    <w:rsid w:val="001A5FEB"/>
  </w:style>
  <w:style w:type="paragraph" w:customStyle="1" w:styleId="21">
    <w:name w:val="Основной текст 21"/>
    <w:basedOn w:val="a"/>
    <w:rsid w:val="001A5FEB"/>
    <w:pPr>
      <w:widowControl w:val="0"/>
      <w:spacing w:before="120" w:after="120" w:line="240" w:lineRule="auto"/>
      <w:jc w:val="both"/>
    </w:pPr>
    <w:rPr>
      <w:rFonts w:ascii="Times New Roman" w:eastAsia="Times New Roman" w:hAnsi="Times New Roman" w:cs="Times New Roman"/>
      <w:sz w:val="24"/>
      <w:szCs w:val="20"/>
      <w:lang w:val="uk-UA"/>
    </w:rPr>
  </w:style>
  <w:style w:type="paragraph" w:styleId="a7">
    <w:name w:val="Balloon Text"/>
    <w:basedOn w:val="a"/>
    <w:link w:val="a8"/>
    <w:uiPriority w:val="99"/>
    <w:semiHidden/>
    <w:unhideWhenUsed/>
    <w:rsid w:val="001A5F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5F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51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1452</Words>
  <Characters>8277</Characters>
  <Application>Microsoft Office Word</Application>
  <DocSecurity>0</DocSecurity>
  <Lines>68</Lines>
  <Paragraphs>19</Paragraphs>
  <ScaleCrop>false</ScaleCrop>
  <Company/>
  <LinksUpToDate>false</LinksUpToDate>
  <CharactersWithSpaces>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2013-08-08T10:31:00Z</dcterms:created>
  <dcterms:modified xsi:type="dcterms:W3CDTF">2013-08-08T10:31:00Z</dcterms:modified>
</cp:coreProperties>
</file>