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78" w:rsidRDefault="002D4878" w:rsidP="002D487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4F6A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1.3pt;margin-top:-36pt;width:38.55pt;height:27.6pt;z-index:251660288" stroked="f">
            <v:textbox>
              <w:txbxContent>
                <w:p w:rsidR="002D4878" w:rsidRDefault="002D4878" w:rsidP="002D487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271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6"/>
          <w:szCs w:val="26"/>
          <w:lang w:val="uk-UA"/>
        </w:rPr>
        <w:t>3.2.4.2. Інженерна підготовка території</w:t>
      </w:r>
    </w:p>
    <w:p w:rsidR="002D4878" w:rsidRDefault="002D4878" w:rsidP="002D4878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bookmarkStart w:id="0" w:name="_Toc359931491"/>
      <w:bookmarkStart w:id="1" w:name="_Toc128970830"/>
      <w:r>
        <w:rPr>
          <w:rFonts w:ascii="Times New Roman" w:hAnsi="Times New Roman"/>
          <w:i/>
          <w:sz w:val="26"/>
          <w:szCs w:val="26"/>
          <w:lang w:val="uk-UA"/>
        </w:rPr>
        <w:t>Гідротехнічні заходи</w:t>
      </w:r>
      <w:bookmarkEnd w:id="0"/>
      <w:bookmarkEnd w:id="1"/>
    </w:p>
    <w:p w:rsidR="002D4878" w:rsidRDefault="002D4878" w:rsidP="002D48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Згідно аналізу топографічних умов проектна територія характеризується наявністю порушених ділянок (кар’єри) - </w:t>
      </w:r>
      <w:smartTag w:uri="urn:schemas-microsoft-com:office:smarttags" w:element="metricconverter">
        <w:smartTagPr>
          <w:attr w:name="ProductID" w:val="37,4 га"/>
        </w:smartTagPr>
        <w:r>
          <w:rPr>
            <w:rFonts w:ascii="Times New Roman" w:hAnsi="Times New Roman"/>
            <w:sz w:val="26"/>
            <w:szCs w:val="26"/>
            <w:lang w:val="uk-UA"/>
          </w:rPr>
          <w:t>37,4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, ряд заболочених ділянок та локальних безстічних заболочених понижень на території з абсолютними відмітками до </w:t>
      </w:r>
      <w:smartTag w:uri="urn:schemas-microsoft-com:office:smarttags" w:element="metricconverter">
        <w:smartTagPr>
          <w:attr w:name="ProductID" w:val="0,2 м"/>
        </w:smartTagPr>
        <w:r>
          <w:rPr>
            <w:rFonts w:ascii="Times New Roman" w:hAnsi="Times New Roman"/>
            <w:sz w:val="26"/>
            <w:szCs w:val="26"/>
            <w:lang w:val="uk-UA"/>
          </w:rPr>
          <w:t>0,2 м</w:t>
        </w:r>
      </w:smartTag>
      <w:r>
        <w:rPr>
          <w:rFonts w:ascii="Times New Roman" w:hAnsi="Times New Roman"/>
          <w:sz w:val="26"/>
          <w:szCs w:val="26"/>
          <w:lang w:val="uk-UA"/>
        </w:rPr>
        <w:t>. Ґрунтові води знаходяться на глибині 1-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6"/>
            <w:szCs w:val="26"/>
            <w:lang w:val="uk-UA"/>
          </w:rPr>
          <w:t>2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2D4878" w:rsidRDefault="002D4878" w:rsidP="002D48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Згідно архітектурно-планувальних рішень на території, що розглядається пропонується розміщення двох оздоровчо-рекреаційних зон: №1 - на 10,7 тис. відпочивальників, і №2 – на 2,5 тис. відпочивальників; будівництво закладів обслуговування; розважальних і спортивних закладів та паркова зона (</w:t>
      </w:r>
      <w:smartTag w:uri="urn:schemas-microsoft-com:office:smarttags" w:element="metricconverter">
        <w:smartTagPr>
          <w:attr w:name="ProductID" w:val="32 га"/>
        </w:smartTagPr>
        <w:r>
          <w:rPr>
            <w:rFonts w:ascii="Times New Roman" w:hAnsi="Times New Roman"/>
            <w:sz w:val="26"/>
            <w:szCs w:val="26"/>
            <w:lang w:val="uk-UA"/>
          </w:rPr>
          <w:t>32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). </w:t>
      </w:r>
    </w:p>
    <w:p w:rsidR="002D4878" w:rsidRDefault="002D4878" w:rsidP="002D48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 метою освоєння території, будівництва «Міста майбутнього» необхідно виконання комплексу гідротехнічних заходів з інженерної підготовки та захисту території, які передбачають: захист території від затоплення і підтоплення; ліквідацію і благоустрій заболочених порушених ділянок території; влаштування набережної, благоустрій пляжу, утворення території під капітальну забудову та під паркову зону.</w:t>
      </w:r>
    </w:p>
    <w:p w:rsidR="002D4878" w:rsidRDefault="002D4878" w:rsidP="002D4878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Вертикальне планування та дощова каналізація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Згідно аналізу топографічних та гідрогеологічних умов освоєння проектної території потребує влаштування заходів з інженерної підготовки, які включають підсипку території. За умови влаштування площинної підсипки території забудови та земляного полотна доріг, необхідно виконати подальше вертикальне планування цих територій.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Підсипку земляного полотна доріг виконати до абсолютної проектної відмітки </w:t>
      </w:r>
      <w:smartTag w:uri="urn:schemas-microsoft-com:office:smarttags" w:element="metricconverter">
        <w:smartTagPr>
          <w:attr w:name="ProductID" w:val="2,1 м"/>
        </w:smartTagPr>
        <w:r>
          <w:rPr>
            <w:rFonts w:ascii="Times New Roman" w:hAnsi="Times New Roman"/>
            <w:sz w:val="26"/>
            <w:szCs w:val="26"/>
            <w:lang w:val="uk-UA"/>
          </w:rPr>
          <w:t>2,1 м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з урахуванням прокладання інженерних мереж.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Підсипку території комплексів та паркової зони проводити до початку виконання робіт з забудови території, як початковий етап з інженерної підготовки території.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забезпечення нормального руху транспорту, пішоходів, мало мобільних груп населення та відводу поверхневих вод необхідно виконати заходи з вертикального планування і будівництва дощової каналізації.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F6AF3">
        <w:lastRenderedPageBreak/>
        <w:pict>
          <v:shape id="_x0000_s1027" type="#_x0000_t202" style="position:absolute;left:0;text-align:left;margin-left:457.15pt;margin-top:-36pt;width:38.55pt;height:27.6pt;z-index:251661312" stroked="f">
            <v:textbox>
              <w:txbxContent>
                <w:p w:rsidR="002D4878" w:rsidRDefault="002D4878" w:rsidP="002D487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272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6"/>
          <w:szCs w:val="26"/>
          <w:lang w:val="uk-UA"/>
        </w:rPr>
        <w:t xml:space="preserve">Вертикальне планування визначає проектні відмітки території, при яких новий проектний рельєф найбільш доцільно та економічно обґрунтовано придатний для будівництва та експлуатації даної конкретної ділянки. 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Роботи з вертикального планування проводяться безпосередньо при виконані забудови території та її благоустрою.</w:t>
      </w:r>
    </w:p>
    <w:p w:rsidR="002D4878" w:rsidRDefault="002D4878" w:rsidP="002D487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При проектуванні нових вулиць та проїздів передбачити влаштування асфальтобетонного покриття. На пішохідних доріжках і тротуарах пропонується влаштування асфальтобетонного покриття та покриття із бетонних плит.</w:t>
      </w:r>
    </w:p>
    <w:p w:rsidR="002D4878" w:rsidRDefault="002D4878" w:rsidP="002D4878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000000" w:rsidRPr="002D4878" w:rsidRDefault="002D4878">
      <w:pPr>
        <w:rPr>
          <w:lang w:val="uk-UA"/>
        </w:rPr>
      </w:pPr>
    </w:p>
    <w:sectPr w:rsidR="00000000" w:rsidRPr="002D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4878"/>
    <w:rsid w:val="002D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D4878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487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2013-08-08T10:46:00Z</dcterms:created>
  <dcterms:modified xsi:type="dcterms:W3CDTF">2013-08-08T10:46:00Z</dcterms:modified>
</cp:coreProperties>
</file>