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D0" w:rsidRDefault="003F4ED0" w:rsidP="003F4ED0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3F4ED0" w:rsidRDefault="003F4ED0" w:rsidP="003F4ED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4.1.5.2. Соціально-побутова інфраструктура</w:t>
      </w:r>
    </w:p>
    <w:p w:rsidR="003F4ED0" w:rsidRDefault="003F4ED0" w:rsidP="003F4ED0">
      <w:pPr>
        <w:tabs>
          <w:tab w:val="left" w:pos="3851"/>
        </w:tabs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3F4ED0" w:rsidRDefault="003F4ED0" w:rsidP="003F4ED0">
      <w:pPr>
        <w:tabs>
          <w:tab w:val="left" w:pos="3851"/>
        </w:tabs>
        <w:spacing w:after="0" w:line="360" w:lineRule="auto"/>
        <w:jc w:val="center"/>
        <w:rPr>
          <w:rFonts w:ascii="Times New Roman" w:hAnsi="Times New Roman"/>
          <w:i/>
          <w:sz w:val="26"/>
          <w:szCs w:val="26"/>
          <w:u w:val="single"/>
          <w:lang w:val="uk-UA"/>
        </w:rPr>
      </w:pPr>
      <w:r>
        <w:rPr>
          <w:rFonts w:ascii="Times New Roman" w:hAnsi="Times New Roman"/>
          <w:i/>
          <w:sz w:val="26"/>
          <w:szCs w:val="26"/>
          <w:u w:val="single"/>
          <w:lang w:val="uk-UA"/>
        </w:rPr>
        <w:t xml:space="preserve">Технологія </w:t>
      </w:r>
      <w:bookmarkStart w:id="0" w:name="_Toc162418304"/>
      <w:r>
        <w:rPr>
          <w:rFonts w:ascii="Times New Roman" w:hAnsi="Times New Roman"/>
          <w:i/>
          <w:sz w:val="26"/>
          <w:szCs w:val="26"/>
          <w:u w:val="single"/>
          <w:lang w:val="uk-UA"/>
        </w:rPr>
        <w:t>гідротехнічних заход</w:t>
      </w:r>
      <w:bookmarkEnd w:id="0"/>
      <w:r>
        <w:rPr>
          <w:rFonts w:ascii="Times New Roman" w:hAnsi="Times New Roman"/>
          <w:i/>
          <w:sz w:val="26"/>
          <w:szCs w:val="26"/>
          <w:u w:val="single"/>
          <w:lang w:val="uk-UA"/>
        </w:rPr>
        <w:t xml:space="preserve">ів з інженерної підготовки </w:t>
      </w:r>
    </w:p>
    <w:p w:rsidR="003F4ED0" w:rsidRDefault="003F4ED0" w:rsidP="003F4ED0">
      <w:pPr>
        <w:tabs>
          <w:tab w:val="left" w:pos="3851"/>
        </w:tabs>
        <w:spacing w:after="0" w:line="360" w:lineRule="auto"/>
        <w:jc w:val="center"/>
        <w:rPr>
          <w:rFonts w:ascii="Times New Roman" w:hAnsi="Times New Roman"/>
          <w:i/>
          <w:sz w:val="26"/>
          <w:szCs w:val="26"/>
          <w:u w:val="single"/>
          <w:lang w:val="uk-UA"/>
        </w:rPr>
      </w:pPr>
      <w:r>
        <w:rPr>
          <w:rFonts w:ascii="Times New Roman" w:hAnsi="Times New Roman"/>
          <w:i/>
          <w:sz w:val="26"/>
          <w:szCs w:val="26"/>
          <w:u w:val="single"/>
          <w:lang w:val="uk-UA"/>
        </w:rPr>
        <w:t>та захисту території</w:t>
      </w:r>
    </w:p>
    <w:p w:rsidR="003F4ED0" w:rsidRDefault="003F4ED0" w:rsidP="003F4ED0">
      <w:pPr>
        <w:tabs>
          <w:tab w:val="left" w:pos="3851"/>
        </w:tabs>
        <w:spacing w:after="0" w:line="360" w:lineRule="auto"/>
        <w:jc w:val="center"/>
        <w:rPr>
          <w:rFonts w:ascii="Times New Roman" w:hAnsi="Times New Roman"/>
          <w:i/>
          <w:sz w:val="26"/>
          <w:szCs w:val="26"/>
          <w:u w:val="single"/>
          <w:lang w:val="uk-UA"/>
        </w:rPr>
      </w:pPr>
    </w:p>
    <w:p w:rsidR="003F4ED0" w:rsidRDefault="003F4ED0" w:rsidP="003F4ED0">
      <w:pPr>
        <w:keepLines/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Згідно аналізу топографічних умов  проектна територія характеризується наявністю порушених ділянок (кар’єри) - </w:t>
      </w:r>
      <w:smartTag w:uri="urn:schemas-microsoft-com:office:smarttags" w:element="metricconverter">
        <w:smartTagPr>
          <w:attr w:name="ProductID" w:val="37,4 га"/>
        </w:smartTagPr>
        <w:r>
          <w:rPr>
            <w:rFonts w:ascii="Times New Roman" w:hAnsi="Times New Roman"/>
            <w:sz w:val="26"/>
            <w:szCs w:val="26"/>
            <w:lang w:val="uk-UA"/>
          </w:rPr>
          <w:t>37,4 га</w:t>
        </w:r>
      </w:smartTag>
      <w:r>
        <w:rPr>
          <w:rFonts w:ascii="Times New Roman" w:hAnsi="Times New Roman"/>
          <w:sz w:val="26"/>
          <w:szCs w:val="26"/>
          <w:lang w:val="uk-UA"/>
        </w:rPr>
        <w:t xml:space="preserve">,  ряд заболочених  ділянок та локальних безстічних заболочених понижень на території  з абсолютними відмітками до </w:t>
      </w:r>
      <w:smartTag w:uri="urn:schemas-microsoft-com:office:smarttags" w:element="metricconverter">
        <w:smartTagPr>
          <w:attr w:name="ProductID" w:val="0,2 м"/>
        </w:smartTagPr>
        <w:r>
          <w:rPr>
            <w:rFonts w:ascii="Times New Roman" w:hAnsi="Times New Roman"/>
            <w:sz w:val="26"/>
            <w:szCs w:val="26"/>
            <w:lang w:val="uk-UA"/>
          </w:rPr>
          <w:t>0,2 м</w:t>
        </w:r>
      </w:smartTag>
      <w:r>
        <w:rPr>
          <w:rFonts w:ascii="Times New Roman" w:hAnsi="Times New Roman"/>
          <w:sz w:val="26"/>
          <w:szCs w:val="26"/>
          <w:lang w:val="uk-UA"/>
        </w:rPr>
        <w:t>.  Ґрунтові води знаходяться на глибині 1-</w:t>
      </w:r>
      <w:smartTag w:uri="urn:schemas-microsoft-com:office:smarttags" w:element="metricconverter">
        <w:smartTagPr>
          <w:attr w:name="ProductID" w:val="2 м"/>
        </w:smartTagPr>
        <w:r>
          <w:rPr>
            <w:rFonts w:ascii="Times New Roman" w:hAnsi="Times New Roman"/>
            <w:sz w:val="26"/>
            <w:szCs w:val="26"/>
            <w:lang w:val="uk-UA"/>
          </w:rPr>
          <w:t>2 м</w:t>
        </w:r>
      </w:smartTag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3F4ED0" w:rsidRDefault="003F4ED0" w:rsidP="003F4ED0">
      <w:pPr>
        <w:keepLines/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Згідно архітектурно-планувальних рішень на території, що розглядається пропонується розміщення двох оздоровчо - рекреаційних зон: №1 - на 10,7 тис. відпочивальників, і №2 – на 2,5 тис. відпочивальників; будівництво закладів обслуговування;  розважальних і спортивних закладів та  паркова зона (</w:t>
      </w:r>
      <w:smartTag w:uri="urn:schemas-microsoft-com:office:smarttags" w:element="metricconverter">
        <w:smartTagPr>
          <w:attr w:name="ProductID" w:val="32 га"/>
        </w:smartTagPr>
        <w:r>
          <w:rPr>
            <w:rFonts w:ascii="Times New Roman" w:hAnsi="Times New Roman"/>
            <w:sz w:val="26"/>
            <w:szCs w:val="26"/>
            <w:lang w:val="uk-UA"/>
          </w:rPr>
          <w:t>32 га</w:t>
        </w:r>
      </w:smartTag>
      <w:r>
        <w:rPr>
          <w:rFonts w:ascii="Times New Roman" w:hAnsi="Times New Roman"/>
          <w:sz w:val="26"/>
          <w:szCs w:val="26"/>
          <w:lang w:val="uk-UA"/>
        </w:rPr>
        <w:t xml:space="preserve">).  </w:t>
      </w:r>
    </w:p>
    <w:p w:rsidR="003F4ED0" w:rsidRDefault="003F4ED0" w:rsidP="003F4ED0">
      <w:pPr>
        <w:keepLines/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 метою освоєння території, будівництва «Міста майбутнього» необхідно виконання комплексу гідротехнічних заходів з інженерної підготовки та захисту території, які передбачають: захист території від затоплення і підтоплення; ліквідацію і благоустрій заболочених порушених ділянок території; влаштування набережної, благоустрій пляжу, утворення території під капітальну забудову та під паркову зону.</w:t>
      </w:r>
    </w:p>
    <w:p w:rsidR="003F4ED0" w:rsidRDefault="003F4ED0" w:rsidP="003F4ED0">
      <w:pPr>
        <w:keepLines/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Для захисту території від затоплення і підтоплення рекомендується метод площинної підсипки. Висота підсипки орієнтовно становить 2,1 м у відповідності  до існуючого рельєфу та  функціонального призначення території (капітальна забудова.).</w:t>
      </w:r>
      <w:r>
        <w:rPr>
          <w:rFonts w:ascii="Times New Roman" w:hAnsi="Times New Roman"/>
          <w:sz w:val="26"/>
          <w:szCs w:val="26"/>
          <w:lang w:val="uk-UA"/>
        </w:rPr>
        <w:tab/>
        <w:t xml:space="preserve">Разом загальна площа площинної підсипки на висоту </w:t>
      </w:r>
      <w:smartTag w:uri="urn:schemas-microsoft-com:office:smarttags" w:element="metricconverter">
        <w:smartTagPr>
          <w:attr w:name="ProductID" w:val="2,1 м"/>
        </w:smartTagPr>
        <w:r>
          <w:rPr>
            <w:rFonts w:ascii="Times New Roman" w:hAnsi="Times New Roman"/>
            <w:sz w:val="26"/>
            <w:szCs w:val="26"/>
            <w:lang w:val="uk-UA"/>
          </w:rPr>
          <w:t>2,1 м</w:t>
        </w:r>
      </w:smartTag>
      <w:r>
        <w:rPr>
          <w:rFonts w:ascii="Times New Roman" w:hAnsi="Times New Roman"/>
          <w:sz w:val="26"/>
          <w:szCs w:val="26"/>
          <w:lang w:val="uk-UA"/>
        </w:rPr>
        <w:t xml:space="preserve"> складає  </w:t>
      </w:r>
      <w:smartTag w:uri="urn:schemas-microsoft-com:office:smarttags" w:element="metricconverter">
        <w:smartTagPr>
          <w:attr w:name="ProductID" w:val="300,0 га"/>
        </w:smartTagPr>
        <w:r>
          <w:rPr>
            <w:rFonts w:ascii="Times New Roman" w:hAnsi="Times New Roman"/>
            <w:sz w:val="26"/>
            <w:szCs w:val="26"/>
            <w:lang w:val="uk-UA"/>
          </w:rPr>
          <w:t>300,0 га</w:t>
        </w:r>
      </w:smartTag>
      <w:r>
        <w:rPr>
          <w:rFonts w:ascii="Times New Roman" w:hAnsi="Times New Roman"/>
          <w:sz w:val="26"/>
          <w:szCs w:val="26"/>
          <w:lang w:val="uk-UA"/>
        </w:rPr>
        <w:t xml:space="preserve"> (ділянка № 1 – </w:t>
      </w:r>
      <w:smartTag w:uri="urn:schemas-microsoft-com:office:smarttags" w:element="metricconverter">
        <w:smartTagPr>
          <w:attr w:name="ProductID" w:val="250 га"/>
        </w:smartTagPr>
        <w:r>
          <w:rPr>
            <w:rFonts w:ascii="Times New Roman" w:hAnsi="Times New Roman"/>
            <w:sz w:val="26"/>
            <w:szCs w:val="26"/>
            <w:lang w:val="uk-UA"/>
          </w:rPr>
          <w:t>250 га</w:t>
        </w:r>
      </w:smartTag>
      <w:r>
        <w:rPr>
          <w:rFonts w:ascii="Times New Roman" w:hAnsi="Times New Roman"/>
          <w:sz w:val="26"/>
          <w:szCs w:val="26"/>
          <w:lang w:val="uk-UA"/>
        </w:rPr>
        <w:t xml:space="preserve">; ділянка № 2 – </w:t>
      </w:r>
      <w:smartTag w:uri="urn:schemas-microsoft-com:office:smarttags" w:element="metricconverter">
        <w:smartTagPr>
          <w:attr w:name="ProductID" w:val="50 га"/>
        </w:smartTagPr>
        <w:r>
          <w:rPr>
            <w:rFonts w:ascii="Times New Roman" w:hAnsi="Times New Roman"/>
            <w:sz w:val="26"/>
            <w:szCs w:val="26"/>
            <w:lang w:val="uk-UA"/>
          </w:rPr>
          <w:t>50 га</w:t>
        </w:r>
      </w:smartTag>
      <w:r>
        <w:rPr>
          <w:rFonts w:ascii="Times New Roman" w:hAnsi="Times New Roman"/>
          <w:sz w:val="26"/>
          <w:szCs w:val="26"/>
          <w:lang w:val="uk-UA"/>
        </w:rPr>
        <w:t xml:space="preserve">), загальним обсягом необхідного  для утворення проектної території ґрунту - 7,2 млн. м³; в парковій зоні  виконати також підсипку території орієнтовно на висоту </w:t>
      </w:r>
      <w:smartTag w:uri="urn:schemas-microsoft-com:office:smarttags" w:element="metricconverter">
        <w:smartTagPr>
          <w:attr w:name="ProductID" w:val="1,0 м"/>
        </w:smartTagPr>
        <w:r>
          <w:rPr>
            <w:rFonts w:ascii="Times New Roman" w:hAnsi="Times New Roman"/>
            <w:sz w:val="26"/>
            <w:szCs w:val="26"/>
            <w:lang w:val="uk-UA"/>
          </w:rPr>
          <w:t>1,0 м</w:t>
        </w:r>
      </w:smartTag>
      <w:r>
        <w:rPr>
          <w:rFonts w:ascii="Times New Roman" w:hAnsi="Times New Roman"/>
          <w:sz w:val="26"/>
          <w:szCs w:val="26"/>
          <w:lang w:val="uk-UA"/>
        </w:rPr>
        <w:t xml:space="preserve"> з обсягом необхідного для утворення проектної території ґрунту – 0,384 млн. м³.</w:t>
      </w:r>
    </w:p>
    <w:p w:rsidR="003F4ED0" w:rsidRDefault="003F4ED0" w:rsidP="003F4ED0">
      <w:pPr>
        <w:keepLines/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Існуючі  заболочені кар’єри також рекомендується підсипати, у середньому на відмітку  </w:t>
      </w:r>
      <w:smartTag w:uri="urn:schemas-microsoft-com:office:smarttags" w:element="metricconverter">
        <w:smartTagPr>
          <w:attr w:name="ProductID" w:val="2,1 м"/>
        </w:smartTagPr>
        <w:r>
          <w:rPr>
            <w:rFonts w:ascii="Times New Roman" w:hAnsi="Times New Roman"/>
            <w:sz w:val="26"/>
            <w:szCs w:val="26"/>
            <w:lang w:val="uk-UA"/>
          </w:rPr>
          <w:t>2,1 м</w:t>
        </w:r>
      </w:smartTag>
      <w:r>
        <w:rPr>
          <w:rFonts w:ascii="Times New Roman" w:hAnsi="Times New Roman"/>
          <w:sz w:val="26"/>
          <w:szCs w:val="26"/>
          <w:lang w:val="uk-UA"/>
        </w:rPr>
        <w:t>. Така висота забезпечить нормальні санітарні умови.</w:t>
      </w:r>
    </w:p>
    <w:p w:rsidR="003F4ED0" w:rsidRDefault="003F4ED0" w:rsidP="003F4ED0">
      <w:pPr>
        <w:keepLines/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 xml:space="preserve">Заболочені ділянки можуть бути ареалами для виплоду малярійного комара, для покращення санітарно-гігієнічних умов  виникає необхідність проведення комплексу  протималярійних заходів,  шляхом влаштування відкритої та закритої дренажної системи осушення і підсипки території. Підсипка виконується на висоту </w:t>
      </w:r>
      <w:smartTag w:uri="urn:schemas-microsoft-com:office:smarttags" w:element="metricconverter">
        <w:smartTagPr>
          <w:attr w:name="ProductID" w:val="2,1 м"/>
        </w:smartTagPr>
        <w:r>
          <w:rPr>
            <w:rFonts w:ascii="Times New Roman" w:hAnsi="Times New Roman"/>
            <w:sz w:val="26"/>
            <w:szCs w:val="26"/>
            <w:lang w:val="uk-UA"/>
          </w:rPr>
          <w:t>2,1 м</w:t>
        </w:r>
      </w:smartTag>
      <w:r>
        <w:rPr>
          <w:rFonts w:ascii="Times New Roman" w:hAnsi="Times New Roman"/>
          <w:sz w:val="26"/>
          <w:szCs w:val="26"/>
          <w:lang w:val="uk-UA"/>
        </w:rPr>
        <w:t xml:space="preserve">, а для озеленення на прилеглих до забудови територіях, ландшафтний парк та ін. – на висоту до </w:t>
      </w:r>
      <w:smartTag w:uri="urn:schemas-microsoft-com:office:smarttags" w:element="metricconverter">
        <w:smartTagPr>
          <w:attr w:name="ProductID" w:val="1,0 м"/>
        </w:smartTagPr>
        <w:r>
          <w:rPr>
            <w:rFonts w:ascii="Times New Roman" w:hAnsi="Times New Roman"/>
            <w:sz w:val="26"/>
            <w:szCs w:val="26"/>
            <w:lang w:val="uk-UA"/>
          </w:rPr>
          <w:t>1,0 м</w:t>
        </w:r>
      </w:smartTag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3F4ED0" w:rsidRDefault="003F4ED0" w:rsidP="003F4ED0">
      <w:pPr>
        <w:keepLines/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Таке ж рішення приймається по відношенню до заболочених понижень, висота підсипки яких, в середньому, складе </w:t>
      </w:r>
      <w:smartTag w:uri="urn:schemas-microsoft-com:office:smarttags" w:element="metricconverter">
        <w:smartTagPr>
          <w:attr w:name="ProductID" w:val="1,0 м"/>
        </w:smartTagPr>
        <w:r>
          <w:rPr>
            <w:rFonts w:ascii="Times New Roman" w:hAnsi="Times New Roman"/>
            <w:sz w:val="26"/>
            <w:szCs w:val="26"/>
            <w:lang w:val="uk-UA"/>
          </w:rPr>
          <w:t>1,0 м</w:t>
        </w:r>
      </w:smartTag>
      <w:r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3F4ED0" w:rsidRDefault="003F4ED0" w:rsidP="003F4ED0">
      <w:pPr>
        <w:keepLines/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Загальна площа  території кар’єрів, що потребують підсипки складе </w:t>
      </w:r>
      <w:smartTag w:uri="urn:schemas-microsoft-com:office:smarttags" w:element="metricconverter">
        <w:smartTagPr>
          <w:attr w:name="ProductID" w:val="102 га"/>
        </w:smartTagPr>
        <w:r>
          <w:rPr>
            <w:rFonts w:ascii="Times New Roman" w:hAnsi="Times New Roman"/>
            <w:sz w:val="26"/>
            <w:szCs w:val="26"/>
            <w:lang w:val="uk-UA"/>
          </w:rPr>
          <w:t>102 га</w:t>
        </w:r>
      </w:smartTag>
      <w:r>
        <w:rPr>
          <w:rFonts w:ascii="Times New Roman" w:hAnsi="Times New Roman"/>
          <w:sz w:val="26"/>
          <w:szCs w:val="26"/>
          <w:lang w:val="uk-UA"/>
        </w:rPr>
        <w:t>. Для цього потрібно біля 2070,0 тис. м</w:t>
      </w:r>
      <w:r>
        <w:rPr>
          <w:rFonts w:ascii="Times New Roman" w:hAnsi="Times New Roman"/>
          <w:sz w:val="26"/>
          <w:szCs w:val="26"/>
          <w:vertAlign w:val="superscript"/>
          <w:lang w:val="uk-UA"/>
        </w:rPr>
        <w:t>3</w:t>
      </w:r>
      <w:r>
        <w:rPr>
          <w:rFonts w:ascii="Times New Roman" w:hAnsi="Times New Roman"/>
          <w:sz w:val="26"/>
          <w:szCs w:val="26"/>
          <w:lang w:val="uk-UA"/>
        </w:rPr>
        <w:t xml:space="preserve"> ґрунту. </w:t>
      </w:r>
    </w:p>
    <w:p w:rsidR="003F4ED0" w:rsidRDefault="003F4ED0" w:rsidP="003F4ED0">
      <w:pPr>
        <w:keepLines/>
        <w:spacing w:after="0" w:line="360" w:lineRule="auto"/>
        <w:ind w:firstLine="90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На всіх ділянках забудови виконати ретельне вертикальне планування території та організацію поверхневого стоку. </w:t>
      </w:r>
    </w:p>
    <w:p w:rsidR="003F4ED0" w:rsidRDefault="003F4ED0" w:rsidP="003F4ED0">
      <w:pPr>
        <w:keepLines/>
        <w:spacing w:after="0" w:line="360" w:lineRule="auto"/>
        <w:ind w:right="-1" w:firstLine="90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Для благоустрою прибережної зони  необхідно влаштувати набережні на території кожного комплексу  та благоустроїти пляжі, загальна протяжність набережної складе </w:t>
      </w:r>
      <w:smartTag w:uri="urn:schemas-microsoft-com:office:smarttags" w:element="metricconverter">
        <w:smartTagPr>
          <w:attr w:name="ProductID" w:val="4,4 км"/>
        </w:smartTagPr>
        <w:r>
          <w:rPr>
            <w:rFonts w:ascii="Times New Roman" w:hAnsi="Times New Roman"/>
            <w:sz w:val="26"/>
            <w:szCs w:val="26"/>
            <w:lang w:val="uk-UA"/>
          </w:rPr>
          <w:t>4,4 км</w:t>
        </w:r>
      </w:smartTag>
      <w:r>
        <w:rPr>
          <w:rFonts w:ascii="Times New Roman" w:hAnsi="Times New Roman"/>
          <w:sz w:val="26"/>
          <w:szCs w:val="26"/>
          <w:lang w:val="uk-UA"/>
        </w:rPr>
        <w:t xml:space="preserve">, в тому числі: комплекс № 1 - </w:t>
      </w:r>
      <w:smartTag w:uri="urn:schemas-microsoft-com:office:smarttags" w:element="metricconverter">
        <w:smartTagPr>
          <w:attr w:name="ProductID" w:val="3,4 км"/>
        </w:smartTagPr>
        <w:r>
          <w:rPr>
            <w:rFonts w:ascii="Times New Roman" w:hAnsi="Times New Roman"/>
            <w:sz w:val="26"/>
            <w:szCs w:val="26"/>
            <w:lang w:val="uk-UA"/>
          </w:rPr>
          <w:t>3,4 км</w:t>
        </w:r>
      </w:smartTag>
      <w:r>
        <w:rPr>
          <w:rFonts w:ascii="Times New Roman" w:hAnsi="Times New Roman"/>
          <w:sz w:val="26"/>
          <w:szCs w:val="26"/>
          <w:lang w:val="uk-UA"/>
        </w:rPr>
        <w:t xml:space="preserve">; комплекс № 2 - </w:t>
      </w:r>
      <w:smartTag w:uri="urn:schemas-microsoft-com:office:smarttags" w:element="metricconverter">
        <w:smartTagPr>
          <w:attr w:name="ProductID" w:val="1,0 км"/>
        </w:smartTagPr>
        <w:r>
          <w:rPr>
            <w:rFonts w:ascii="Times New Roman" w:hAnsi="Times New Roman"/>
            <w:sz w:val="26"/>
            <w:szCs w:val="26"/>
            <w:lang w:val="uk-UA"/>
          </w:rPr>
          <w:t>1,0 км</w:t>
        </w:r>
      </w:smartTag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3F4ED0" w:rsidRDefault="003F4ED0" w:rsidP="003F4ED0">
      <w:pPr>
        <w:keepLines/>
        <w:spacing w:after="0" w:line="360" w:lineRule="auto"/>
        <w:ind w:right="-1" w:firstLine="90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При влаштуванні набережної виконати підсипку території на висоту в середньому до 1,8-</w:t>
      </w:r>
      <w:smartTag w:uri="urn:schemas-microsoft-com:office:smarttags" w:element="metricconverter">
        <w:smartTagPr>
          <w:attr w:name="ProductID" w:val="2,1 м"/>
        </w:smartTagPr>
        <w:r>
          <w:rPr>
            <w:rFonts w:ascii="Times New Roman" w:hAnsi="Times New Roman"/>
            <w:sz w:val="26"/>
            <w:szCs w:val="26"/>
            <w:lang w:val="uk-UA"/>
          </w:rPr>
          <w:t>2,1 м</w:t>
        </w:r>
      </w:smartTag>
      <w:r>
        <w:rPr>
          <w:rFonts w:ascii="Times New Roman" w:hAnsi="Times New Roman"/>
          <w:sz w:val="26"/>
          <w:szCs w:val="26"/>
          <w:lang w:val="uk-UA"/>
        </w:rPr>
        <w:t>, за умови, що траса набережної пройде, в основному, по природному гребню. Відкоси закладати у відношенні 1:2; мокрий відкіс набережної закріпити залізобетонними плитами.  Крім того, вздовж набережної необхідно влаштувати дренаж (типу «задамбовий дренаж») з боку забудови, вартість якого включається у вартість набережної.</w:t>
      </w:r>
    </w:p>
    <w:p w:rsidR="003F4ED0" w:rsidRDefault="003F4ED0" w:rsidP="003F4ED0">
      <w:pPr>
        <w:keepLines/>
        <w:spacing w:after="0" w:line="360" w:lineRule="auto"/>
        <w:ind w:right="-1" w:firstLine="90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Для благоустрою пляжів необхідно виконати, в основному, вертикальне планування пляжної смуги з ухилом в бік моря.  </w:t>
      </w:r>
      <w:r>
        <w:rPr>
          <w:rFonts w:cs="Arial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Існуючі пляжі підлягають частково на окремих ділянках  розширенню, благоустрою і оснащенню інженерним обладнанням, на загальній протяжності  </w:t>
      </w:r>
      <w:smartTag w:uri="urn:schemas-microsoft-com:office:smarttags" w:element="metricconverter">
        <w:smartTagPr>
          <w:attr w:name="ProductID" w:val="4,4 км"/>
        </w:smartTagPr>
        <w:r>
          <w:rPr>
            <w:rFonts w:ascii="Times New Roman" w:hAnsi="Times New Roman"/>
            <w:sz w:val="26"/>
            <w:szCs w:val="26"/>
            <w:lang w:val="uk-UA"/>
          </w:rPr>
          <w:t>4,4 км</w:t>
        </w:r>
      </w:smartTag>
      <w:r>
        <w:rPr>
          <w:rFonts w:ascii="Times New Roman" w:hAnsi="Times New Roman"/>
          <w:sz w:val="26"/>
          <w:szCs w:val="26"/>
          <w:lang w:val="uk-UA"/>
        </w:rPr>
        <w:t xml:space="preserve">, в тому числі: комплекс № 1 - </w:t>
      </w:r>
      <w:smartTag w:uri="urn:schemas-microsoft-com:office:smarttags" w:element="metricconverter">
        <w:smartTagPr>
          <w:attr w:name="ProductID" w:val="3,4 км"/>
        </w:smartTagPr>
        <w:r>
          <w:rPr>
            <w:rFonts w:ascii="Times New Roman" w:hAnsi="Times New Roman"/>
            <w:sz w:val="26"/>
            <w:szCs w:val="26"/>
            <w:lang w:val="uk-UA"/>
          </w:rPr>
          <w:t>3,4 км</w:t>
        </w:r>
      </w:smartTag>
      <w:r>
        <w:rPr>
          <w:rFonts w:ascii="Times New Roman" w:hAnsi="Times New Roman"/>
          <w:sz w:val="26"/>
          <w:szCs w:val="26"/>
          <w:lang w:val="uk-UA"/>
        </w:rPr>
        <w:t xml:space="preserve">; комплекс № 2 - </w:t>
      </w:r>
      <w:smartTag w:uri="urn:schemas-microsoft-com:office:smarttags" w:element="metricconverter">
        <w:smartTagPr>
          <w:attr w:name="ProductID" w:val="1,0 км"/>
        </w:smartTagPr>
        <w:r>
          <w:rPr>
            <w:rFonts w:ascii="Times New Roman" w:hAnsi="Times New Roman"/>
            <w:sz w:val="26"/>
            <w:szCs w:val="26"/>
            <w:lang w:val="uk-UA"/>
          </w:rPr>
          <w:t>1,0 км</w:t>
        </w:r>
      </w:smartTag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3F4ED0" w:rsidRDefault="003F4ED0" w:rsidP="003F4ED0">
      <w:pPr>
        <w:keepLines/>
        <w:spacing w:after="0" w:line="360" w:lineRule="auto"/>
        <w:ind w:right="-1" w:firstLine="90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Обсяги та вартісні показники приведені в таблиці далі; визначені орієнтовно та потребують уточнення на подальших, більш конкретних і детальних стадіях проектування.</w:t>
      </w:r>
    </w:p>
    <w:p w:rsidR="003F4ED0" w:rsidRDefault="003F4ED0" w:rsidP="003F4ED0">
      <w:pPr>
        <w:keepLines/>
        <w:spacing w:after="0" w:line="360" w:lineRule="auto"/>
        <w:ind w:right="-1" w:firstLine="90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 xml:space="preserve">При обрахуванні вартості утворення території вартість </w:t>
      </w:r>
      <w:smartTag w:uri="urn:schemas-microsoft-com:office:smarttags" w:element="metricconverter">
        <w:smartTagPr>
          <w:attr w:name="ProductID" w:val="1 м³"/>
        </w:smartTagPr>
        <w:r>
          <w:rPr>
            <w:rFonts w:ascii="Times New Roman" w:hAnsi="Times New Roman"/>
            <w:sz w:val="26"/>
            <w:szCs w:val="26"/>
            <w:lang w:val="uk-UA"/>
          </w:rPr>
          <w:t>1 м³</w:t>
        </w:r>
      </w:smartTag>
      <w:r>
        <w:rPr>
          <w:rFonts w:ascii="Times New Roman" w:hAnsi="Times New Roman"/>
          <w:sz w:val="26"/>
          <w:szCs w:val="26"/>
          <w:lang w:val="uk-UA"/>
        </w:rPr>
        <w:t xml:space="preserve"> прийнята орієнтовно  до 10 грн. , так як ґрунт передбачається використовувати той,що буде вийнятий на своїй території при влаштуванні декоративних водойм та басейнів.</w:t>
      </w:r>
    </w:p>
    <w:p w:rsidR="003F4ED0" w:rsidRDefault="003F4ED0" w:rsidP="003F4ED0">
      <w:pPr>
        <w:keepLines/>
        <w:spacing w:after="0" w:line="360" w:lineRule="auto"/>
        <w:ind w:right="-1" w:firstLine="90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F4ED0" w:rsidRDefault="003F4ED0" w:rsidP="003F4ED0">
      <w:pPr>
        <w:pStyle w:val="3"/>
        <w:spacing w:before="0" w:line="360" w:lineRule="auto"/>
        <w:ind w:firstLine="708"/>
        <w:jc w:val="center"/>
        <w:rPr>
          <w:rFonts w:ascii="Times New Roman" w:hAnsi="Times New Roman"/>
          <w:b w:val="0"/>
          <w:i/>
          <w:color w:val="auto"/>
          <w:sz w:val="26"/>
          <w:szCs w:val="26"/>
          <w:u w:val="single"/>
          <w:lang w:val="uk-UA"/>
        </w:rPr>
      </w:pPr>
      <w:r>
        <w:rPr>
          <w:rFonts w:ascii="Times New Roman" w:hAnsi="Times New Roman"/>
          <w:b w:val="0"/>
          <w:i/>
          <w:color w:val="auto"/>
          <w:sz w:val="26"/>
          <w:szCs w:val="26"/>
          <w:u w:val="single"/>
          <w:lang w:val="uk-UA"/>
        </w:rPr>
        <w:t>Технологічні транспортні рішення</w:t>
      </w:r>
    </w:p>
    <w:p w:rsidR="003F4ED0" w:rsidRDefault="003F4ED0" w:rsidP="003F4ED0">
      <w:pPr>
        <w:rPr>
          <w:lang w:val="uk-UA"/>
        </w:rPr>
      </w:pPr>
    </w:p>
    <w:p w:rsidR="003F4ED0" w:rsidRDefault="003F4ED0" w:rsidP="003F4ED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На ближню перспективу при будівництві території «IntermedicalEcoCity» передбачений ряд заходів </w:t>
      </w:r>
      <w:r>
        <w:rPr>
          <w:rFonts w:ascii="Times New Roman" w:hAnsi="Times New Roman"/>
          <w:i/>
          <w:color w:val="000000"/>
          <w:sz w:val="26"/>
          <w:szCs w:val="26"/>
          <w:lang w:val="uk-UA"/>
        </w:rPr>
        <w:t>з розвитку автомобільних доріг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:</w:t>
      </w:r>
    </w:p>
    <w:p w:rsidR="003F4ED0" w:rsidRDefault="003F4ED0" w:rsidP="003F4ED0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будівництво територіальної дороги державного значення, яка пройде від м. Генічеськ вздовж всієї Арабатської стрілки з подальшим будівництво автомобільного мосту через затоку Сиваш в районі с. Стрілкове та виходом на автомобільну дорогу державного значення М-18. Автомобільна дорога запроектована за параметрами ІІ технічної категорії з шириною проїзної частини </w:t>
      </w:r>
      <w:smartTag w:uri="urn:schemas-microsoft-com:office:smarttags" w:element="metricconverter">
        <w:smartTagPr>
          <w:attr w:name="ProductID" w:val="15,0 м"/>
        </w:smartTagPr>
        <w:r>
          <w:rPr>
            <w:rFonts w:ascii="Times New Roman" w:hAnsi="Times New Roman"/>
            <w:color w:val="000000"/>
            <w:sz w:val="26"/>
            <w:szCs w:val="26"/>
            <w:lang w:val="uk-UA"/>
          </w:rPr>
          <w:t>15,0 м</w:t>
        </w:r>
      </w:smartTag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та пройде поза територіями «IntermedicalEcoCity», селищами Генічеська Гірка та Стрілкове. Будівництво автомобільного мосту через затоку Сиваш дозволить значно зменшити час проїзду від міжнародного аеропорту «Сімферополь» до території «IntermedicalEcoCity».</w:t>
      </w:r>
    </w:p>
    <w:p w:rsidR="003F4ED0" w:rsidRDefault="003F4ED0" w:rsidP="003F4ED0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реконструкція автомобільних доріг державного значення М-18 Харків – Сімферополь – Алушта – Ялта та Р–47 Херсон – Нова Каховка – Генічеськ за параметрами І технічної категорії з шириною проїзної частини </w:t>
      </w:r>
      <w:smartTag w:uri="urn:schemas-microsoft-com:office:smarttags" w:element="metricconverter">
        <w:smartTagPr>
          <w:attr w:name="ProductID" w:val="15,0 м"/>
        </w:smartTagPr>
        <w:r>
          <w:rPr>
            <w:rFonts w:ascii="Times New Roman" w:hAnsi="Times New Roman"/>
            <w:color w:val="000000"/>
            <w:sz w:val="26"/>
            <w:szCs w:val="26"/>
            <w:lang w:val="uk-UA"/>
          </w:rPr>
          <w:t>15,0 м</w:t>
        </w:r>
      </w:smartTag>
      <w:r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3F4ED0" w:rsidRDefault="003F4ED0" w:rsidP="003F4ED0">
      <w:pPr>
        <w:spacing w:after="0" w:line="360" w:lineRule="auto"/>
        <w:rPr>
          <w:rFonts w:ascii="Times New Roman" w:hAnsi="Times New Roman"/>
          <w:b/>
          <w:sz w:val="26"/>
          <w:szCs w:val="26"/>
          <w:lang w:val="uk-UA"/>
        </w:rPr>
        <w:sectPr w:rsidR="003F4ED0">
          <w:pgSz w:w="11906" w:h="16838"/>
          <w:pgMar w:top="1134" w:right="850" w:bottom="1134" w:left="1701" w:header="709" w:footer="709" w:gutter="0"/>
          <w:cols w:space="720"/>
        </w:sectPr>
      </w:pPr>
    </w:p>
    <w:p w:rsidR="003F4ED0" w:rsidRDefault="003F4ED0" w:rsidP="003F4ED0">
      <w:pPr>
        <w:keepNext/>
        <w:keepLines/>
        <w:spacing w:after="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 xml:space="preserve">Таблиця 4.20 - Основні гідротехнічні заходи з інженерної підготовки території         </w:t>
      </w: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3241"/>
        <w:gridCol w:w="720"/>
        <w:gridCol w:w="1440"/>
        <w:gridCol w:w="1800"/>
        <w:gridCol w:w="1800"/>
        <w:gridCol w:w="1620"/>
        <w:gridCol w:w="1800"/>
        <w:gridCol w:w="1800"/>
      </w:tblGrid>
      <w:tr w:rsidR="003F4ED0" w:rsidTr="003F4ED0">
        <w:trPr>
          <w:trHeight w:val="82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№№</w:t>
            </w:r>
          </w:p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заходів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Одини</w:t>
            </w:r>
          </w:p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ця</w:t>
            </w:r>
          </w:p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вимі</w:t>
            </w:r>
          </w:p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ру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Орієнтовна вартість,</w:t>
            </w:r>
          </w:p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млн. грн.</w:t>
            </w:r>
          </w:p>
        </w:tc>
      </w:tr>
      <w:tr w:rsidR="003F4ED0" w:rsidTr="003F4ED0">
        <w:trPr>
          <w:trHeight w:val="195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D0" w:rsidRDefault="003F4ED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F4ED0" w:rsidRDefault="003F4ED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D0" w:rsidRDefault="003F4E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Орієнтовна вартість,</w:t>
            </w:r>
          </w:p>
          <w:p w:rsidR="003F4ED0" w:rsidRDefault="003F4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млн. грн.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Комплекс</w:t>
            </w:r>
          </w:p>
          <w:p w:rsidR="003F4ED0" w:rsidRDefault="003F4ED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№1</w:t>
            </w:r>
          </w:p>
          <w:p w:rsidR="003F4ED0" w:rsidRDefault="003F4ED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360 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Комплекс</w:t>
            </w:r>
          </w:p>
          <w:p w:rsidR="003F4ED0" w:rsidRDefault="003F4ED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№2</w:t>
            </w:r>
          </w:p>
          <w:p w:rsidR="003F4ED0" w:rsidRDefault="003F4ED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54 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Комплекс</w:t>
            </w:r>
          </w:p>
          <w:p w:rsidR="003F4ED0" w:rsidRDefault="003F4ED0">
            <w:pPr>
              <w:keepLines/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Комплекс </w:t>
            </w:r>
          </w:p>
          <w:p w:rsidR="003F4ED0" w:rsidRDefault="003F4ED0">
            <w:pPr>
              <w:keepLines/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№2</w:t>
            </w:r>
          </w:p>
        </w:tc>
      </w:tr>
      <w:tr w:rsidR="003F4ED0" w:rsidTr="003F4ED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Утворення території під капітальну забудову (площинна підсипка на h=2,1м) стоим.1 м³=10грн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300,0</w:t>
            </w:r>
          </w:p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(250+50)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75,6 </w:t>
            </w:r>
          </w:p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12,6</w:t>
            </w:r>
          </w:p>
        </w:tc>
      </w:tr>
      <w:tr w:rsidR="003F4ED0" w:rsidTr="003F4ED0">
        <w:trPr>
          <w:trHeight w:hRule="exact" w:val="68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Площинна підсипка - паркова зона(h=1,0 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3,2</w:t>
            </w:r>
          </w:p>
        </w:tc>
      </w:tr>
      <w:tr w:rsidR="003F4ED0" w:rsidTr="003F4ED0">
        <w:trPr>
          <w:trHeight w:hRule="exact" w:val="39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Набережна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2,625</w:t>
            </w:r>
          </w:p>
        </w:tc>
      </w:tr>
      <w:tr w:rsidR="003F4ED0" w:rsidTr="003F4ED0">
        <w:trPr>
          <w:trHeight w:hRule="exact" w:val="39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Благоустрій пляжів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км/га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4,3/13,0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0,975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3,25/9,9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1,05/3,1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0,232</w:t>
            </w:r>
          </w:p>
        </w:tc>
      </w:tr>
      <w:tr w:rsidR="003F4ED0" w:rsidTr="003F4ED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Захист від підтоплення і затоплення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3F4ED0" w:rsidTr="003F4ED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Засипка кар’єрів</w:t>
            </w:r>
          </w:p>
          <w:p w:rsidR="003F4ED0" w:rsidRDefault="003F4ED0">
            <w:pPr>
              <w:keepLines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(на h=2,1 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3F4ED0" w:rsidTr="003F4ED0">
        <w:trPr>
          <w:trHeight w:hRule="exact" w:val="68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90, 525 = 90,6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71,868 = 71,9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Line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18,657 = 18,7</w:t>
            </w:r>
          </w:p>
        </w:tc>
      </w:tr>
    </w:tbl>
    <w:p w:rsidR="003F4ED0" w:rsidRDefault="003F4ED0" w:rsidP="003F4ED0">
      <w:pPr>
        <w:keepNext/>
        <w:keepLines/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 - вартість включена у вартість утворення території;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</w:t>
      </w:r>
    </w:p>
    <w:p w:rsidR="003F4ED0" w:rsidRDefault="003F4ED0" w:rsidP="003F4ED0">
      <w:pPr>
        <w:spacing w:after="0"/>
        <w:rPr>
          <w:rFonts w:ascii="Times New Roman" w:hAnsi="Times New Roman"/>
          <w:b/>
          <w:sz w:val="26"/>
          <w:szCs w:val="26"/>
        </w:rPr>
        <w:sectPr w:rsidR="003F4ED0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3F4ED0" w:rsidRDefault="003F4ED0" w:rsidP="003F4ED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lastRenderedPageBreak/>
        <w:t xml:space="preserve">На більш далеку перспективу (після початку функціонування «IntermedicalEcoCity») для підвезення відпочивальників до території «IntermedicalEcoCity» передбачено організувати </w:t>
      </w:r>
      <w:r>
        <w:rPr>
          <w:rFonts w:ascii="Times New Roman" w:hAnsi="Times New Roman"/>
          <w:i/>
          <w:color w:val="000000"/>
          <w:sz w:val="26"/>
          <w:szCs w:val="26"/>
          <w:lang w:val="uk-UA"/>
        </w:rPr>
        <w:t>наземну лінію легких та безшумних електропоїздів типу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«Радан», яка пройде від залізничної станції Новоолексіївка до території «IntermedicalEcoCity». На лінії передбачено організувати зупинки: в районі ст.Новолексіївка, аеропорт «Генічеськ», біля перехоплюючої автостоянки на в’їзді до Арабатської стрілка та кінцева зупинка «IntermedicalEcoCity». Проходження «Радану» по території Арабатської стрілки передбачено вздовж проектної територіальної автомобільної дороги державного значення.</w:t>
      </w:r>
    </w:p>
    <w:p w:rsidR="003F4ED0" w:rsidRDefault="003F4ED0" w:rsidP="003F4ED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Крім того, прийом відпочивальників з України передбачено аеропортом місцевого значення «Генічеськ», який передбачено збудувати в північній частині зони впливу м. Генічеськ на території колишнього аеродрому. Доставка відпочивальників до «IntermedicalEcoCity» буде здійснюватись гелікоптерами (безпосередньо з аеропорту «Генічеськ») та електропоїздами лінії «Радан».</w:t>
      </w:r>
    </w:p>
    <w:p w:rsidR="003F4ED0" w:rsidRDefault="003F4ED0" w:rsidP="003F4ED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Також для вирішення питання </w:t>
      </w:r>
      <w:r>
        <w:rPr>
          <w:rFonts w:ascii="Times New Roman" w:hAnsi="Times New Roman"/>
          <w:i/>
          <w:color w:val="000000"/>
          <w:sz w:val="26"/>
          <w:szCs w:val="26"/>
          <w:lang w:val="uk-UA"/>
        </w:rPr>
        <w:t>повітряного сполучення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між територією «Intermedical Eco City» та основними населеними пунктами області та аеропортами, передбачено розміщення гелікоптерних майданчиків, які забезпечать налагоджену роботу аварійно-рятувальних, медичних, санітарних служб та надання сервісного обслуговування відпочивальникам.</w:t>
      </w:r>
    </w:p>
    <w:p w:rsidR="003F4ED0" w:rsidRDefault="003F4ED0" w:rsidP="003F4ED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По морському транспорту передбачено будівництво нового причалу для прийому суден безпосередньо на території «IntermedicalEcoCity». </w:t>
      </w:r>
    </w:p>
    <w:p w:rsidR="003F4ED0" w:rsidRDefault="003F4ED0" w:rsidP="003F4ED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Крім того, передбачено організація зв’язків нового причалу з морськими портами Запорізької та Донецької області, а також з портами АР Крим, для перевезення відпочивальників.</w:t>
      </w:r>
    </w:p>
    <w:p w:rsidR="003F4ED0" w:rsidRDefault="003F4ED0" w:rsidP="003F4ED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На перспективу територію «IntermedicalEcoCity» планується майже повністю вивільнити від транспорту (залишити лише транспорт екстрених служб: міліція, швидка допомога, пожежна), який погіршує екологічний стан. Обслуговування відпочивальників «IntermedicalEcoCity» буде виконуватись електротранспортом та велосипедами. Обслуговування відпочивальників всередині території «IntermedicalEcoCity» буде виконуватись електрокарами місткістю 4-6 місць. Зберігання електрокарів буде здійснюватись на територіях рекреаційних установ.</w:t>
      </w:r>
    </w:p>
    <w:p w:rsidR="003F4ED0" w:rsidRDefault="003F4ED0" w:rsidP="003F4ED0">
      <w:pPr>
        <w:pStyle w:val="3"/>
        <w:spacing w:before="0"/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  <w:lang w:val="uk-UA"/>
        </w:rPr>
      </w:pPr>
    </w:p>
    <w:p w:rsidR="003F4ED0" w:rsidRDefault="003F4ED0" w:rsidP="003F4ED0">
      <w:pPr>
        <w:pStyle w:val="3"/>
        <w:spacing w:before="0"/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  <w:lang w:val="uk-UA"/>
        </w:rPr>
      </w:pPr>
      <w:r>
        <w:rPr>
          <w:rFonts w:ascii="Times New Roman" w:hAnsi="Times New Roman"/>
          <w:b w:val="0"/>
          <w:color w:val="auto"/>
          <w:sz w:val="26"/>
          <w:szCs w:val="26"/>
          <w:lang w:val="uk-UA"/>
        </w:rPr>
        <w:t>Таблиця 4. 21 -  Орієнтовні вартісні показники по освоєнню території, що розглядається.</w:t>
      </w:r>
    </w:p>
    <w:tbl>
      <w:tblPr>
        <w:tblW w:w="95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07"/>
        <w:gridCol w:w="2693"/>
        <w:gridCol w:w="1843"/>
        <w:gridCol w:w="1417"/>
        <w:gridCol w:w="2410"/>
      </w:tblGrid>
      <w:tr w:rsidR="003F4ED0" w:rsidTr="003F4ED0">
        <w:trPr>
          <w:cantSplit/>
          <w:tblHeader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Робота (код)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Робота (найменування)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Строк виконання (орієнтовний)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  <w:szCs w:val="20"/>
                <w:lang w:val="uk-UA"/>
              </w:rPr>
              <w:t>Вартість (орієнтовна), млн. грн.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Порядок виконання робіт</w:t>
            </w:r>
          </w:p>
        </w:tc>
      </w:tr>
      <w:tr w:rsidR="003F4ED0" w:rsidTr="003F4ED0">
        <w:trPr>
          <w:cantSplit/>
          <w:jc w:val="center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Транспорт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Будівництво територіальної автомобільної дороги державного значення за параметрами ІІ технічної категорії з шириною проїзної частини </w:t>
            </w:r>
            <w:smartTag w:uri="urn:schemas-microsoft-com:office:smarttags" w:element="metricconverter">
              <w:smartTagPr>
                <w:attr w:name="ProductID" w:val="15,0 м"/>
              </w:smartTagPr>
              <w:r>
                <w:rPr>
                  <w:rFonts w:ascii="Times New Roman" w:hAnsi="Times New Roman"/>
                  <w:sz w:val="24"/>
                  <w:szCs w:val="24"/>
                  <w:lang w:val="uk-UA"/>
                </w:rPr>
                <w:t>15,0 м</w:t>
              </w:r>
            </w:smartTag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протяжністю </w:t>
            </w:r>
            <w:smartTag w:uri="urn:schemas-microsoft-com:office:smarttags" w:element="metricconverter">
              <w:smartTagPr>
                <w:attr w:name="ProductID" w:val="30,0 км"/>
              </w:smartTagPr>
              <w:r>
                <w:rPr>
                  <w:rFonts w:ascii="Times New Roman" w:hAnsi="Times New Roman"/>
                  <w:sz w:val="24"/>
                  <w:szCs w:val="24"/>
                  <w:lang w:val="uk-UA"/>
                </w:rPr>
                <w:t>30,0 км</w:t>
              </w:r>
            </w:smartTag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 місяців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Після виконання робіт з інженерного захисту та прокладання інженерних мереж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Будівництво причалу для приймання суден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Після Т1 та Т3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Будівництво мережі житлових вулиць (в т.ч. проїздів) з велодоріжками, протяжністю </w:t>
            </w:r>
            <w:smartTag w:uri="urn:schemas-microsoft-com:office:smarttags" w:element="metricconverter">
              <w:smartTagPr>
                <w:attr w:name="ProductID" w:val="30,0 км"/>
              </w:smartTagPr>
              <w:r>
                <w:rPr>
                  <w:rFonts w:ascii="Times New Roman" w:hAnsi="Times New Roman"/>
                  <w:sz w:val="24"/>
                  <w:szCs w:val="24"/>
                  <w:lang w:val="uk-UA"/>
                </w:rPr>
                <w:t>30,0 км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Після виконання робіт з інженерного захисту та прокладання інженерних мереж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keepNext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Будівництво перехоп-люючої автостоянки (ба-гатоповерхового гаражу) на в’їзді-виїзді з Ара-батської стрілки, для постійного зберігання індивідуальних легкових автомобілів відпочивальників та обслуговуючого персоналу, загальною кількістю 2100 машино-місць, площею </w:t>
            </w:r>
            <w:smartTag w:uri="urn:schemas-microsoft-com:office:smarttags" w:element="metricconverter">
              <w:smartTagPr>
                <w:attr w:name="ProductID" w:val="31500 м2"/>
              </w:smartTagPr>
              <w:r>
                <w:rPr>
                  <w:rFonts w:ascii="Times New Roman" w:hAnsi="Times New Roman"/>
                  <w:spacing w:val="-4"/>
                  <w:sz w:val="24"/>
                  <w:szCs w:val="24"/>
                  <w:lang w:val="uk-UA"/>
                </w:rPr>
                <w:t>31500 м</w:t>
              </w:r>
              <w:r>
                <w:rPr>
                  <w:rFonts w:ascii="Times New Roman" w:hAnsi="Times New Roman"/>
                  <w:spacing w:val="-4"/>
                  <w:sz w:val="24"/>
                  <w:szCs w:val="24"/>
                  <w:vertAlign w:val="superscript"/>
                  <w:lang w:val="uk-UA"/>
                </w:rPr>
                <w:t>2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Після Т1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Будівництво автостоянок для тимчасового зберігання електрокарів та велосипедів біля громадських будинків та споруд масового відвідування, всього, 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Разом з Т2</w:t>
            </w:r>
          </w:p>
        </w:tc>
      </w:tr>
      <w:tr w:rsidR="003F4ED0" w:rsidTr="003F4ED0">
        <w:trPr>
          <w:cantSplit/>
          <w:jc w:val="center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 w:rsidP="008F588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електротранспорт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місяць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4ED0" w:rsidTr="003F4ED0">
        <w:trPr>
          <w:cantSplit/>
          <w:jc w:val="center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 w:rsidP="008F588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велотранспорт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місяць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766,0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4ED0" w:rsidTr="003F4ED0">
        <w:trPr>
          <w:cantSplit/>
          <w:jc w:val="center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Гідротехнічні заходи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Утворення та благоустрій території (намивним способом), доставка баржами, укладка на площадках, ущільнення ґрунту, відстій намитої території) – загальний обсяг ґрунту – 7,2 млн. м³ на загальній площі двох ділянок </w:t>
            </w:r>
            <w:smartTag w:uri="urn:schemas-microsoft-com:office:smarttags" w:element="metricconverter">
              <w:smartTagPr>
                <w:attr w:name="ProductID" w:val="300 га"/>
              </w:smartTagPr>
              <w:r>
                <w:rPr>
                  <w:rFonts w:ascii="Times New Roman" w:hAnsi="Times New Roman"/>
                  <w:sz w:val="24"/>
                  <w:szCs w:val="24"/>
                  <w:lang w:val="uk-UA"/>
                </w:rPr>
                <w:t>300 га</w:t>
              </w:r>
            </w:smartTag>
            <w:r>
              <w:rPr>
                <w:rFonts w:ascii="Times New Roman" w:hAnsi="Times New Roman"/>
                <w:sz w:val="24"/>
                <w:szCs w:val="24"/>
                <w:lang w:val="uk-UA"/>
              </w:rPr>
              <w:t>; набережна, пляжі;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місяців ÷ 2 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1) Намив ґрунту на баржу з глибини ~15÷20м; </w:t>
            </w:r>
          </w:p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2) Доставка ґрунту баржами на відстань до </w:t>
            </w:r>
            <w:smartTag w:uri="urn:schemas-microsoft-com:office:smarttags" w:element="metricconverter">
              <w:smartTagPr>
                <w:attr w:name="ProductID" w:val="10 км"/>
              </w:smartTagPr>
              <w:r>
                <w:rPr>
                  <w:rFonts w:ascii="Times New Roman" w:hAnsi="Times New Roman"/>
                  <w:sz w:val="24"/>
                  <w:szCs w:val="24"/>
                  <w:lang w:val="uk-UA"/>
                </w:rPr>
                <w:t>10 км</w:t>
              </w:r>
            </w:smartTag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3) Укладення ґрунту з ущільненням на площадках забудови №1 та №2; </w:t>
            </w:r>
          </w:p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4) Відстій території – 4÷6 місяців;</w:t>
            </w:r>
          </w:p>
        </w:tc>
      </w:tr>
      <w:tr w:rsidR="003F4ED0" w:rsidTr="003F4ED0">
        <w:trPr>
          <w:cantSplit/>
          <w:jc w:val="center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тому числі: </w:t>
            </w:r>
          </w:p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ділянка №1, площею </w:t>
            </w:r>
            <w:smartTag w:uri="urn:schemas-microsoft-com:office:smarttags" w:element="metricconverter">
              <w:smartTagPr>
                <w:attr w:name="ProductID" w:val="250 га"/>
              </w:smartTagPr>
              <w:r>
                <w:rPr>
                  <w:rFonts w:ascii="Times New Roman" w:hAnsi="Times New Roman"/>
                  <w:sz w:val="24"/>
                  <w:szCs w:val="24"/>
                  <w:lang w:val="uk-UA"/>
                </w:rPr>
                <w:t>250 га</w:t>
              </w:r>
            </w:smartTag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158,9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–"–</w:t>
            </w:r>
          </w:p>
        </w:tc>
      </w:tr>
      <w:tr w:rsidR="003F4ED0" w:rsidTr="003F4ED0">
        <w:trPr>
          <w:cantSplit/>
          <w:jc w:val="center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ділянка №2, площею </w:t>
            </w:r>
            <w:smartTag w:uri="urn:schemas-microsoft-com:office:smarttags" w:element="metricconverter">
              <w:smartTagPr>
                <w:attr w:name="ProductID" w:val="50 га"/>
              </w:smartTagPr>
              <w:r>
                <w:rPr>
                  <w:rFonts w:ascii="Times New Roman" w:hAnsi="Times New Roman"/>
                  <w:sz w:val="24"/>
                  <w:szCs w:val="24"/>
                  <w:lang w:val="uk-UA"/>
                </w:rPr>
                <w:t>50 га</w:t>
              </w:r>
            </w:smartTag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32,9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–"–</w:t>
            </w:r>
          </w:p>
        </w:tc>
      </w:tr>
      <w:tr w:rsidR="003F4ED0" w:rsidTr="003F4ED0">
        <w:trPr>
          <w:cantSplit/>
          <w:jc w:val="center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паркова зона, площею </w:t>
            </w:r>
            <w:smartTag w:uri="urn:schemas-microsoft-com:office:smarttags" w:element="metricconverter">
              <w:smartTagPr>
                <w:attr w:name="ProductID" w:val="32,0 га"/>
              </w:smartTagPr>
              <w:r>
                <w:rPr>
                  <w:rFonts w:ascii="Times New Roman" w:hAnsi="Times New Roman"/>
                  <w:sz w:val="24"/>
                  <w:szCs w:val="24"/>
                  <w:lang w:val="uk-UA"/>
                </w:rPr>
                <w:t>32,0 га</w:t>
              </w:r>
            </w:smartTag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–"–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402,8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4ED0" w:rsidTr="003F4ED0">
        <w:trPr>
          <w:cantSplit/>
          <w:jc w:val="center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Вертикальне планування та дощова каналізація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Вертикальне планування</w:t>
            </w:r>
          </w:p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Будівництво відкритої дощової каналізації</w:t>
            </w:r>
          </w:p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Будівництво міні очисних споруд дощової каналізації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з будівництвом капітальних споруд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56,1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Усі роботи виконуються одночасно та у відповідності з будівництвом капітальних споруд та благоустроєм території. Відповідно до ПОБ.</w:t>
            </w:r>
          </w:p>
        </w:tc>
      </w:tr>
      <w:tr w:rsidR="003F4ED0" w:rsidTr="003F4ED0">
        <w:trPr>
          <w:cantSplit/>
          <w:jc w:val="center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тому числі:</w:t>
            </w:r>
          </w:p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оздоровчо-рекреаційна зона,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42,3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4ED0" w:rsidTr="003F4ED0">
        <w:trPr>
          <w:cantSplit/>
          <w:jc w:val="center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оздоровча зона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4ED0" w:rsidTr="003F4ED0">
        <w:trPr>
          <w:cantSplit/>
          <w:jc w:val="center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паркова –громадська зона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Відповідно із створенням паркової зони та будівництва капітальних споруд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112,2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4ED0" w:rsidTr="003F4ED0">
        <w:trPr>
          <w:cantSplit/>
          <w:jc w:val="center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Енергопостачання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Спорудження КСЕСТ в оздоровчо-рекреаційній зоні (І)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місяців – 1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етапі завершення будівництва кожного окремого рекреацій-но-оздоровчого ком-плексу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Спорудження КСЕСТ в оздоровчій зоні (ІІ)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місяців – 1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161,8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етапі завершення будівництва кожного окремого оздоровчо-го комплексу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Спорудження КСЕСТ в парково-громадській зоні (ІІІ)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місяців – 1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етапі завершення будівництва кожного окремого громадсь-кого закладу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Будівництво об’єктів електроенергетики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Одночасно з будів-ництвом оздоровчо-рекреаційних та гро-мадських закладів 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4ED0" w:rsidTr="003F4ED0">
        <w:trPr>
          <w:cantSplit/>
          <w:jc w:val="center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Водопостачання 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Прокладання вуличної водопровідної мережі (</w:t>
            </w:r>
            <w:smartTag w:uri="urn:schemas-microsoft-com:office:smarttags" w:element="metricconverter">
              <w:smartTagPr>
                <w:attr w:name="ProductID" w:val="15,00 км"/>
              </w:smartTagPr>
              <w:r>
                <w:rPr>
                  <w:rFonts w:ascii="Times New Roman" w:hAnsi="Times New Roman"/>
                  <w:sz w:val="24"/>
                  <w:szCs w:val="24"/>
                  <w:lang w:val="uk-UA"/>
                </w:rPr>
                <w:t>15,00 км</w:t>
              </w:r>
            </w:smartTag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одночасно з В2, В3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Прокладання внутрішньоділянкової водопровідної мережі (</w:t>
            </w:r>
            <w:smartTag w:uri="urn:schemas-microsoft-com:office:smarttags" w:element="metricconverter">
              <w:smartTagPr>
                <w:attr w:name="ProductID" w:val="20,00 км"/>
              </w:smartTagPr>
              <w:r>
                <w:rPr>
                  <w:rFonts w:ascii="Times New Roman" w:hAnsi="Times New Roman"/>
                  <w:sz w:val="24"/>
                  <w:szCs w:val="24"/>
                  <w:lang w:val="uk-UA"/>
                </w:rPr>
                <w:t>20,00 км</w:t>
              </w:r>
            </w:smartTag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одночасно з В1, В3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Будівництво ділянок водопровідних споруд (3 одиниці)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11,13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одночасно з В1, В2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25,96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4ED0" w:rsidTr="003F4ED0">
        <w:trPr>
          <w:cantSplit/>
          <w:jc w:val="center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Каналізація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Прокладання вуличної самопливної каналізаційної мережі (</w:t>
            </w:r>
            <w:smartTag w:uri="urn:schemas-microsoft-com:office:smarttags" w:element="metricconverter">
              <w:smartTagPr>
                <w:attr w:name="ProductID" w:val="5,60 км"/>
              </w:smartTagPr>
              <w:r>
                <w:rPr>
                  <w:rFonts w:ascii="Times New Roman" w:hAnsi="Times New Roman"/>
                  <w:sz w:val="24"/>
                  <w:szCs w:val="24"/>
                  <w:lang w:val="uk-UA"/>
                </w:rPr>
                <w:t>5,60 км</w:t>
              </w:r>
            </w:smartTag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одночасно з К2, К3, К4, К5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Прокладання внутрішньо-ділянкової каналізаційної мережі (</w:t>
            </w:r>
            <w:smartTag w:uri="urn:schemas-microsoft-com:office:smarttags" w:element="metricconverter">
              <w:smartTagPr>
                <w:attr w:name="ProductID" w:val="17,00 км"/>
              </w:smartTagPr>
              <w:r>
                <w:rPr>
                  <w:rFonts w:ascii="Times New Roman" w:hAnsi="Times New Roman"/>
                  <w:sz w:val="24"/>
                  <w:szCs w:val="24"/>
                  <w:lang w:val="uk-UA"/>
                </w:rPr>
                <w:t>17,00 км</w:t>
              </w:r>
            </w:smartTag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одночасно з К1, К3, К4, К5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Прокладання напірної каналізаційної мережі (</w:t>
            </w:r>
            <w:smartTag w:uri="urn:schemas-microsoft-com:office:smarttags" w:element="metricconverter">
              <w:smartTagPr>
                <w:attr w:name="ProductID" w:val="3,50 км"/>
              </w:smartTagPr>
              <w:r>
                <w:rPr>
                  <w:rFonts w:ascii="Times New Roman" w:hAnsi="Times New Roman"/>
                  <w:sz w:val="24"/>
                  <w:szCs w:val="24"/>
                  <w:lang w:val="uk-UA"/>
                </w:rPr>
                <w:t>3,50 км</w:t>
              </w:r>
            </w:smartTag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місяці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одночасно з К1, К2, К4, К5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Будівництво каналіза-ційних насосних станцій (2 одиниці)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одночасно з К1, К2, К3, К5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Будівництво каналізаційних очисних споруд (1 ділянка)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одночасно з К1, К2, К3, К4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17,14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4ED0" w:rsidTr="003F4ED0">
        <w:trPr>
          <w:cantSplit/>
          <w:jc w:val="center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Санітарне очищення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сміттєвозів (3 одиниці)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одночасно з СО2, СО3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прибиральних машин та механізмів (7 од.)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одночасно з СО1, СО3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Схеми санітарного очищення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одночасно з СО1, СО2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4ED0" w:rsidTr="003F4ED0">
        <w:trPr>
          <w:cantSplit/>
          <w:jc w:val="center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Благоустрій, озеленення</w:t>
            </w: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Озеленення території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Влаштування газонів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Влаштування пішохідних доріжок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F4ED0" w:rsidTr="003F4ED0">
        <w:trPr>
          <w:cantSplit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D0" w:rsidRDefault="003F4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D0" w:rsidRDefault="003F4E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F4ED0" w:rsidRDefault="003F4ED0" w:rsidP="003F4ED0">
      <w:pPr>
        <w:rPr>
          <w:lang w:val="uk-UA"/>
        </w:rPr>
      </w:pPr>
    </w:p>
    <w:p w:rsidR="003F4ED0" w:rsidRDefault="003F4ED0" w:rsidP="003F4ED0"/>
    <w:p w:rsidR="00000000" w:rsidRDefault="003F4ED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F7314"/>
    <w:multiLevelType w:val="hybridMultilevel"/>
    <w:tmpl w:val="7DA8F842"/>
    <w:lvl w:ilvl="0" w:tplc="F21A940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054022"/>
    <w:multiLevelType w:val="hybridMultilevel"/>
    <w:tmpl w:val="25A0D3DC"/>
    <w:lvl w:ilvl="0" w:tplc="F21A940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F4ED0"/>
    <w:rsid w:val="003F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ED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F4ED0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2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1883</Words>
  <Characters>10735</Characters>
  <Application>Microsoft Office Word</Application>
  <DocSecurity>0</DocSecurity>
  <Lines>89</Lines>
  <Paragraphs>25</Paragraphs>
  <ScaleCrop>false</ScaleCrop>
  <Company/>
  <LinksUpToDate>false</LinksUpToDate>
  <CharactersWithSpaces>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2013-08-08T12:21:00Z</dcterms:created>
  <dcterms:modified xsi:type="dcterms:W3CDTF">2013-08-08T12:21:00Z</dcterms:modified>
</cp:coreProperties>
</file>