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65" w:type="dxa"/>
        <w:tblCellSpacing w:w="15" w:type="dxa"/>
        <w:tblCellMar>
          <w:top w:w="150" w:type="dxa"/>
          <w:left w:w="150" w:type="dxa"/>
          <w:bottom w:w="150" w:type="dxa"/>
          <w:right w:w="150" w:type="dxa"/>
        </w:tblCellMar>
        <w:tblLook w:val="04A0"/>
      </w:tblPr>
      <w:tblGrid>
        <w:gridCol w:w="8265"/>
      </w:tblGrid>
      <w:tr w:rsidR="003319A3" w:rsidRPr="003319A3">
        <w:trPr>
          <w:tblCellSpacing w:w="15" w:type="dxa"/>
        </w:trPr>
        <w:tc>
          <w:tcPr>
            <w:tcW w:w="8265" w:type="dxa"/>
            <w:vAlign w:val="center"/>
            <w:hideMark/>
          </w:tcPr>
          <w:p w:rsidR="003319A3" w:rsidRPr="003319A3" w:rsidRDefault="003319A3" w:rsidP="003319A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4805045" cy="2061845"/>
                  <wp:effectExtent l="19050" t="0" r="0" b="0"/>
                  <wp:docPr id="1" name="Рисунок 1" descr="http://www.vneshtorgclub.ru/images/nqf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neshtorgclub.ru/images/nqf001.gif"/>
                          <pic:cNvPicPr>
                            <a:picLocks noChangeAspect="1" noChangeArrowheads="1"/>
                          </pic:cNvPicPr>
                        </pic:nvPicPr>
                        <pic:blipFill>
                          <a:blip r:embed="rId4"/>
                          <a:srcRect/>
                          <a:stretch>
                            <a:fillRect/>
                          </a:stretch>
                        </pic:blipFill>
                        <pic:spPr bwMode="auto">
                          <a:xfrm>
                            <a:off x="0" y="0"/>
                            <a:ext cx="4805045" cy="2061845"/>
                          </a:xfrm>
                          <a:prstGeom prst="rect">
                            <a:avLst/>
                          </a:prstGeom>
                          <a:noFill/>
                          <a:ln w="9525">
                            <a:noFill/>
                            <a:miter lim="800000"/>
                            <a:headEnd/>
                            <a:tailEnd/>
                          </a:ln>
                        </pic:spPr>
                      </pic:pic>
                    </a:graphicData>
                  </a:graphic>
                </wp:inline>
              </w:drawing>
            </w:r>
          </w:p>
        </w:tc>
      </w:tr>
      <w:tr w:rsidR="003319A3" w:rsidRPr="003319A3">
        <w:trPr>
          <w:tblCellSpacing w:w="15" w:type="dxa"/>
        </w:trPr>
        <w:tc>
          <w:tcPr>
            <w:tcW w:w="0" w:type="auto"/>
            <w:vAlign w:val="center"/>
            <w:hideMark/>
          </w:tcPr>
          <w:p w:rsidR="003319A3" w:rsidRPr="003319A3" w:rsidRDefault="003319A3" w:rsidP="003319A3">
            <w:pPr>
              <w:spacing w:before="100" w:beforeAutospacing="1" w:after="100" w:afterAutospacing="1" w:line="240" w:lineRule="auto"/>
              <w:rPr>
                <w:rFonts w:ascii="Tahoma" w:eastAsia="Times New Roman" w:hAnsi="Tahoma" w:cs="Tahoma"/>
                <w:color w:val="545454"/>
                <w:sz w:val="16"/>
                <w:szCs w:val="16"/>
                <w:lang w:eastAsia="uk-UA"/>
              </w:rPr>
            </w:pPr>
            <w:r w:rsidRPr="003319A3">
              <w:rPr>
                <w:rFonts w:ascii="Tahoma" w:eastAsia="Times New Roman" w:hAnsi="Tahoma" w:cs="Tahoma"/>
                <w:b/>
                <w:bCs/>
                <w:color w:val="006F92"/>
                <w:sz w:val="16"/>
                <w:szCs w:val="16"/>
                <w:lang w:eastAsia="uk-UA"/>
              </w:rPr>
              <w:t>National Qualifications Framework</w:t>
            </w:r>
            <w:r w:rsidRPr="003319A3">
              <w:rPr>
                <w:rFonts w:ascii="Tahoma" w:eastAsia="Times New Roman" w:hAnsi="Tahoma" w:cs="Tahoma"/>
                <w:color w:val="545454"/>
                <w:sz w:val="16"/>
                <w:szCs w:val="16"/>
                <w:lang w:eastAsia="uk-UA"/>
              </w:rPr>
              <w:t xml:space="preserve"> </w:t>
            </w:r>
            <w:r w:rsidRPr="003319A3">
              <w:rPr>
                <w:rFonts w:ascii="Tahoma" w:eastAsia="Times New Roman" w:hAnsi="Tahoma" w:cs="Tahoma"/>
                <w:color w:val="545454"/>
                <w:sz w:val="16"/>
                <w:szCs w:val="16"/>
                <w:lang w:eastAsia="uk-UA"/>
              </w:rPr>
              <w:br/>
            </w:r>
            <w:r w:rsidRPr="003319A3">
              <w:rPr>
                <w:rFonts w:ascii="Tahoma" w:eastAsia="Times New Roman" w:hAnsi="Tahoma" w:cs="Tahoma"/>
                <w:color w:val="545454"/>
                <w:sz w:val="16"/>
                <w:szCs w:val="16"/>
                <w:lang w:eastAsia="uk-UA"/>
              </w:rPr>
              <w:br/>
              <w:t xml:space="preserve">Национальная Структура Квалификаций (National Qualifications Framework) – это оценочная (аттестационная) система профессионального опыта и знаний, представленная в формате ротации по уровням квалификационного рейтинга. </w:t>
            </w:r>
            <w:r w:rsidRPr="003319A3">
              <w:rPr>
                <w:rFonts w:ascii="Tahoma" w:eastAsia="Times New Roman" w:hAnsi="Tahoma" w:cs="Tahoma"/>
                <w:color w:val="545454"/>
                <w:sz w:val="16"/>
                <w:szCs w:val="16"/>
                <w:lang w:eastAsia="uk-UA"/>
              </w:rPr>
              <w:br/>
              <w:t xml:space="preserve">Система, как продукт, создана в Великобритании и впервые была использована в Англии, Шотландии и Ирландии. Существуют две принципиально разные модели национальных структур квалификаций. </w:t>
            </w:r>
            <w:r w:rsidRPr="003319A3">
              <w:rPr>
                <w:rFonts w:ascii="Tahoma" w:eastAsia="Times New Roman" w:hAnsi="Tahoma" w:cs="Tahoma"/>
                <w:color w:val="545454"/>
                <w:sz w:val="16"/>
                <w:szCs w:val="16"/>
                <w:lang w:eastAsia="uk-UA"/>
              </w:rPr>
              <w:br/>
              <w:t>Первая модель NQF – ориентирована на восемь уровней низшего, среднего, профессионально-технического и высшего образования. Ротация по уровням квалификаций в ней происходит в соответствии с профессиональной, или учёной  степенью, полученной выпускником, при окончании профессионально-технического училища, или учебного заведения.</w:t>
            </w:r>
            <w:r w:rsidRPr="003319A3">
              <w:rPr>
                <w:rFonts w:ascii="Tahoma" w:eastAsia="Times New Roman" w:hAnsi="Tahoma" w:cs="Tahoma"/>
                <w:color w:val="545454"/>
                <w:sz w:val="16"/>
                <w:szCs w:val="16"/>
                <w:lang w:eastAsia="uk-UA"/>
              </w:rPr>
              <w:br/>
              <w:t>В 1999 году страны ЕЭС договорились о создании «единого образовательного пространства» и эта договоренность была зафиксирована в виде Болонской декларации, согласно которой к 2010 году вся Западная Европа должна иметь единую систему высшей школы. Болонское соглашение подписали 33 из 45 стран Европы. Россия присоединилась к Болонской Конвенции.</w:t>
            </w:r>
            <w:r w:rsidRPr="003319A3">
              <w:rPr>
                <w:rFonts w:ascii="Tahoma" w:eastAsia="Times New Roman" w:hAnsi="Tahoma" w:cs="Tahoma"/>
                <w:color w:val="545454"/>
                <w:sz w:val="16"/>
                <w:szCs w:val="16"/>
                <w:lang w:eastAsia="uk-UA"/>
              </w:rPr>
              <w:br/>
              <w:t xml:space="preserve">Вторая модель NQF – «бизнес-ориентированная», или ориентированная на оценку профессиональных знаний, была принята Копенгагенской конвенцией. </w:t>
            </w:r>
            <w:r w:rsidRPr="003319A3">
              <w:rPr>
                <w:rFonts w:ascii="Tahoma" w:eastAsia="Times New Roman" w:hAnsi="Tahoma" w:cs="Tahoma"/>
                <w:color w:val="545454"/>
                <w:sz w:val="16"/>
                <w:szCs w:val="16"/>
                <w:lang w:eastAsia="uk-UA"/>
              </w:rPr>
              <w:br/>
              <w:t>Ротация по уровням квалификаций в ней происходит на основании оценки, полученной соискателем при сдаче квалификационного экзамена по профессии в соответствии с профессиональной занятостью.</w:t>
            </w:r>
            <w:r w:rsidRPr="003319A3">
              <w:rPr>
                <w:rFonts w:ascii="Tahoma" w:eastAsia="Times New Roman" w:hAnsi="Tahoma" w:cs="Tahoma"/>
                <w:color w:val="545454"/>
                <w:sz w:val="16"/>
                <w:szCs w:val="16"/>
                <w:lang w:eastAsia="uk-UA"/>
              </w:rPr>
              <w:br/>
              <w:t>Данная модель была признана ЕЭС оптимальной для стран СНГ с экономикой «переходного периода».</w:t>
            </w:r>
            <w:r w:rsidRPr="003319A3">
              <w:rPr>
                <w:rFonts w:ascii="Tahoma" w:eastAsia="Times New Roman" w:hAnsi="Tahoma" w:cs="Tahoma"/>
                <w:color w:val="545454"/>
                <w:sz w:val="16"/>
                <w:szCs w:val="16"/>
                <w:lang w:eastAsia="uk-UA"/>
              </w:rPr>
              <w:br/>
              <w:t>В обеих моделях для соискателя присутствует единая персональная мотивация –  при прохождении квалификационных экзаменов получить максимально высокий результат, от которого непосредственно зависит профессиональная карьера, репутация, будущая должность и уровень заработной платы.</w:t>
            </w:r>
            <w:r w:rsidRPr="003319A3">
              <w:rPr>
                <w:rFonts w:ascii="Tahoma" w:eastAsia="Times New Roman" w:hAnsi="Tahoma" w:cs="Tahoma"/>
                <w:color w:val="545454"/>
                <w:sz w:val="16"/>
                <w:szCs w:val="16"/>
                <w:lang w:eastAsia="uk-UA"/>
              </w:rPr>
              <w:br/>
              <w:t xml:space="preserve">Успешность системы NQF позволила экспортировать её  из Великобритании в другие страны – сначала в Новую Зеландию, Австралию и Канаду, впоследствии в ряд европейских государств. </w:t>
            </w:r>
            <w:r w:rsidRPr="003319A3">
              <w:rPr>
                <w:rFonts w:ascii="Tahoma" w:eastAsia="Times New Roman" w:hAnsi="Tahoma" w:cs="Tahoma"/>
                <w:color w:val="545454"/>
                <w:sz w:val="16"/>
                <w:szCs w:val="16"/>
                <w:lang w:eastAsia="uk-UA"/>
              </w:rPr>
              <w:br/>
              <w:t xml:space="preserve">В 2006 году Европейская Комиссия направила рекомендацию в Европейский Парламент с предложением о создании Европейской Структуры Квалификаций (European Qualifications Framework). Спустя год программа получила одобрение и в настоящий момент реализуется. </w:t>
            </w:r>
          </w:p>
        </w:tc>
      </w:tr>
      <w:tr w:rsidR="003319A3" w:rsidRPr="003319A3">
        <w:trPr>
          <w:tblCellSpacing w:w="15" w:type="dxa"/>
        </w:trPr>
        <w:tc>
          <w:tcPr>
            <w:tcW w:w="0" w:type="auto"/>
            <w:vAlign w:val="center"/>
            <w:hideMark/>
          </w:tcPr>
          <w:p w:rsidR="003319A3" w:rsidRPr="003319A3" w:rsidRDefault="003319A3" w:rsidP="003319A3">
            <w:pPr>
              <w:spacing w:before="100" w:beforeAutospacing="1" w:after="100" w:afterAutospacing="1" w:line="240" w:lineRule="auto"/>
              <w:rPr>
                <w:rFonts w:ascii="Tahoma" w:eastAsia="Times New Roman" w:hAnsi="Tahoma" w:cs="Tahoma"/>
                <w:color w:val="545454"/>
                <w:sz w:val="16"/>
                <w:szCs w:val="16"/>
                <w:lang w:eastAsia="uk-UA"/>
              </w:rPr>
            </w:pPr>
            <w:r w:rsidRPr="003319A3">
              <w:rPr>
                <w:rFonts w:ascii="Tahoma" w:eastAsia="Times New Roman" w:hAnsi="Tahoma" w:cs="Tahoma"/>
                <w:b/>
                <w:bCs/>
                <w:color w:val="006F92"/>
                <w:sz w:val="16"/>
                <w:szCs w:val="16"/>
                <w:lang w:eastAsia="uk-UA"/>
              </w:rPr>
              <w:t>European Qualifications Framework</w:t>
            </w:r>
            <w:r w:rsidRPr="003319A3">
              <w:rPr>
                <w:rFonts w:ascii="Tahoma" w:eastAsia="Times New Roman" w:hAnsi="Tahoma" w:cs="Tahoma"/>
                <w:color w:val="545454"/>
                <w:sz w:val="16"/>
                <w:szCs w:val="16"/>
                <w:lang w:eastAsia="uk-UA"/>
              </w:rPr>
              <w:t xml:space="preserve"> </w:t>
            </w:r>
            <w:r w:rsidRPr="003319A3">
              <w:rPr>
                <w:rFonts w:ascii="Tahoma" w:eastAsia="Times New Roman" w:hAnsi="Tahoma" w:cs="Tahoma"/>
                <w:color w:val="545454"/>
                <w:sz w:val="16"/>
                <w:szCs w:val="16"/>
                <w:lang w:eastAsia="uk-UA"/>
              </w:rPr>
              <w:br/>
            </w:r>
            <w:r w:rsidRPr="003319A3">
              <w:rPr>
                <w:rFonts w:ascii="Tahoma" w:eastAsia="Times New Roman" w:hAnsi="Tahoma" w:cs="Tahoma"/>
                <w:color w:val="545454"/>
                <w:sz w:val="16"/>
                <w:szCs w:val="16"/>
                <w:lang w:eastAsia="uk-UA"/>
              </w:rPr>
              <w:br/>
              <w:t xml:space="preserve">Европейская Структура Квалификаций (European Qualifications Framework) – международная система оценки качества квалификации и знаний. Сегодня Европа сталкивается с вызовами при становлении качественно продвинутой экономики, основанной исключительно на профессиональных знаниях. Европейская Структура Квалификаций имеет две основных цели: первая – это создание и поддержание уровня квалификационных профессиональных стандартов между странами Европы и вторая – это организация и обеспечение стран Европейского Союза профессиональными образовательными программами, с последующим предоставлением лучших рабочих мест и возможностей карьерного роста самым квалифицированным специалистам, в любой из стран, входящих в Европейскую Структуру Квалификаций. </w:t>
            </w:r>
            <w:r w:rsidRPr="003319A3">
              <w:rPr>
                <w:rFonts w:ascii="Tahoma" w:eastAsia="Times New Roman" w:hAnsi="Tahoma" w:cs="Tahoma"/>
                <w:color w:val="545454"/>
                <w:sz w:val="16"/>
                <w:szCs w:val="16"/>
                <w:lang w:eastAsia="uk-UA"/>
              </w:rPr>
              <w:br/>
              <w:t xml:space="preserve">В ядре Европейской Структуры Квалификаций восемь уровней, охватывающих основные и наиболее востребованные квалификации. Предусмотрены те требования к знаниям, которые человек понимает и способен реализовать, независимо от системы, в которой его квалификация была приобретена. </w:t>
            </w:r>
            <w:r w:rsidRPr="003319A3">
              <w:rPr>
                <w:rFonts w:ascii="Tahoma" w:eastAsia="Times New Roman" w:hAnsi="Tahoma" w:cs="Tahoma"/>
                <w:color w:val="545454"/>
                <w:sz w:val="16"/>
                <w:szCs w:val="16"/>
                <w:lang w:eastAsia="uk-UA"/>
              </w:rPr>
              <w:br/>
              <w:t xml:space="preserve">Европейская Структура Квалификаций смещает центр внимания от срока учебы и учебного заведения, где квалификация была получена, к непосредственно, качеству профессиональных знаний и возможностей их практического применения. </w:t>
            </w:r>
            <w:r w:rsidRPr="003319A3">
              <w:rPr>
                <w:rFonts w:ascii="Tahoma" w:eastAsia="Times New Roman" w:hAnsi="Tahoma" w:cs="Tahoma"/>
                <w:color w:val="545454"/>
                <w:sz w:val="16"/>
                <w:szCs w:val="16"/>
                <w:lang w:eastAsia="uk-UA"/>
              </w:rPr>
              <w:br/>
              <w:t xml:space="preserve">Это поддерживает естественную конкуренцию между образовательными учреждениями в условиях и потребностях трудового рынка, это увеличивает значимость самообразования и практического опыта, это облегчает перемещение квалифицированных специалистов по различным странам для жизни и работы в них. Политическое соглашение, достигнутое в Европейском Парламенте следует за тремя годами интенсивной подготовки, в близком сотрудничестве европейских государств. Европейская Структура Квалификаций уже влияет на развитие Национальных Структур Квалификаций во многих государствах, где NQF являются частью более широкого процесса национальных реформ. Большинство стран Европы активно развивают Национальные Структуры Квалификаций. Европейская Комиссия поддерживает этот процесс, консолидируя проекты, соединяющие группы стран и секторов, проверяющих выполнение программы European Qualifications Framework. Этот процесс позволяет сравнивать уровни квалификации персонала различных стран, различного образования и различных </w:t>
            </w:r>
            <w:r w:rsidRPr="003319A3">
              <w:rPr>
                <w:rFonts w:ascii="Tahoma" w:eastAsia="Times New Roman" w:hAnsi="Tahoma" w:cs="Tahoma"/>
                <w:color w:val="545454"/>
                <w:sz w:val="16"/>
                <w:szCs w:val="16"/>
                <w:lang w:eastAsia="uk-UA"/>
              </w:rPr>
              <w:lastRenderedPageBreak/>
              <w:t>систем обучения.</w:t>
            </w:r>
          </w:p>
        </w:tc>
      </w:tr>
      <w:tr w:rsidR="003319A3" w:rsidRPr="003319A3">
        <w:trPr>
          <w:tblCellSpacing w:w="15" w:type="dxa"/>
        </w:trPr>
        <w:tc>
          <w:tcPr>
            <w:tcW w:w="0" w:type="auto"/>
            <w:vAlign w:val="center"/>
            <w:hideMark/>
          </w:tcPr>
          <w:p w:rsidR="003319A3" w:rsidRPr="003319A3" w:rsidRDefault="003319A3" w:rsidP="003319A3">
            <w:pPr>
              <w:spacing w:before="100" w:beforeAutospacing="1" w:after="100" w:afterAutospacing="1" w:line="240" w:lineRule="auto"/>
              <w:rPr>
                <w:rFonts w:ascii="Tahoma" w:eastAsia="Times New Roman" w:hAnsi="Tahoma" w:cs="Tahoma"/>
                <w:color w:val="545454"/>
                <w:sz w:val="16"/>
                <w:szCs w:val="16"/>
                <w:lang w:eastAsia="uk-UA"/>
              </w:rPr>
            </w:pPr>
            <w:r w:rsidRPr="003319A3">
              <w:rPr>
                <w:rFonts w:ascii="Tahoma" w:eastAsia="Times New Roman" w:hAnsi="Tahoma" w:cs="Tahoma"/>
                <w:b/>
                <w:bCs/>
                <w:color w:val="006F92"/>
                <w:sz w:val="16"/>
                <w:szCs w:val="16"/>
                <w:lang w:eastAsia="uk-UA"/>
              </w:rPr>
              <w:lastRenderedPageBreak/>
              <w:t xml:space="preserve">Бизнес-ориентированная модель </w:t>
            </w:r>
            <w:r w:rsidRPr="003319A3">
              <w:rPr>
                <w:rFonts w:ascii="Tahoma" w:eastAsia="Times New Roman" w:hAnsi="Tahoma" w:cs="Tahoma"/>
                <w:b/>
                <w:bCs/>
                <w:color w:val="006F92"/>
                <w:sz w:val="16"/>
                <w:szCs w:val="16"/>
                <w:lang w:eastAsia="uk-UA"/>
              </w:rPr>
              <w:br/>
              <w:t>Национальной Структуры Квалификаций в России: Программа 2008 – 2010</w:t>
            </w:r>
            <w:r w:rsidRPr="003319A3">
              <w:rPr>
                <w:rFonts w:ascii="Tahoma" w:eastAsia="Times New Roman" w:hAnsi="Tahoma" w:cs="Tahoma"/>
                <w:color w:val="545454"/>
                <w:sz w:val="16"/>
                <w:szCs w:val="16"/>
                <w:lang w:eastAsia="uk-UA"/>
              </w:rPr>
              <w:br/>
            </w:r>
            <w:r w:rsidRPr="003319A3">
              <w:rPr>
                <w:rFonts w:ascii="Tahoma" w:eastAsia="Times New Roman" w:hAnsi="Tahoma" w:cs="Tahoma"/>
                <w:color w:val="545454"/>
                <w:sz w:val="16"/>
                <w:szCs w:val="16"/>
                <w:lang w:eastAsia="uk-UA"/>
              </w:rPr>
              <w:br/>
              <w:t>В 2007 году Европейский Экономический Комитет (European Economic Committee), объединяющий международные финансовые институты и экспертные организации стран Европейского Союза, осуществляющий социальные проекты и инвестиционные программы в поддержку малого и среднего бизнеса, поддержал программы создания Национальных Структур Квалификаций в целом ряде стран СНГ. Основная задача таких программ – создание и внедрение единых международных стандартов при оценке квалификаций.</w:t>
            </w:r>
            <w:r w:rsidRPr="003319A3">
              <w:rPr>
                <w:rFonts w:ascii="Tahoma" w:eastAsia="Times New Roman" w:hAnsi="Tahoma" w:cs="Tahoma"/>
                <w:color w:val="545454"/>
                <w:sz w:val="16"/>
                <w:szCs w:val="16"/>
                <w:lang w:eastAsia="uk-UA"/>
              </w:rPr>
              <w:br/>
              <w:t>Итогом сотрудничества Европейского Экономического Комитета и ряда российских экспертных организаций стало создание бизнес-ориентированной модели Национальной Структуры Квалификаций в России. Программа подготовлена для менеджмента российских компаний и рассчитана на период с 2008 по 2010 годы. Программа позволяет безошибочно оценить качество квалификации менеджмента и управляющего персонала российских компаний.</w:t>
            </w:r>
            <w:r w:rsidRPr="003319A3">
              <w:rPr>
                <w:rFonts w:ascii="Tahoma" w:eastAsia="Times New Roman" w:hAnsi="Tahoma" w:cs="Tahoma"/>
                <w:color w:val="545454"/>
                <w:sz w:val="16"/>
                <w:szCs w:val="16"/>
                <w:lang w:eastAsia="uk-UA"/>
              </w:rPr>
              <w:br/>
              <w:t>По итогам результатов программы рассчитывается рейтинг инвестиционной привлекательности российских компаний, который позволит повлиять на участие данных компаний в международных инвестиционных программах, реализуемых Европейским Экономическим Комитетом.</w:t>
            </w:r>
            <w:r w:rsidRPr="003319A3">
              <w:rPr>
                <w:rFonts w:ascii="Tahoma" w:eastAsia="Times New Roman" w:hAnsi="Tahoma" w:cs="Tahoma"/>
                <w:color w:val="545454"/>
                <w:sz w:val="16"/>
                <w:szCs w:val="16"/>
                <w:lang w:eastAsia="uk-UA"/>
              </w:rPr>
              <w:br/>
              <w:t>В рамках реализации программы, менеджеры и управленцы  российских компаний сдают квалификационные экзамены в системе бизнес-ориентированной Национальной Структуры Квалификаций «EU-NQF-R» на получение квалификационных степеней и Сертификатов соответствия по четырнадцати специализациям бизнеса.</w:t>
            </w:r>
            <w:r w:rsidRPr="003319A3">
              <w:rPr>
                <w:rFonts w:ascii="Tahoma" w:eastAsia="Times New Roman" w:hAnsi="Tahoma" w:cs="Tahoma"/>
                <w:color w:val="545454"/>
                <w:sz w:val="16"/>
                <w:szCs w:val="16"/>
                <w:lang w:eastAsia="uk-UA"/>
              </w:rPr>
              <w:br/>
              <w:t>Безусловным ориентиром программы является перспектива вступления России во Всемирную Торговую Организацию. Международные финансовые институты и инвестиционные группы заинтересованы в создании основного показателя доверия к бизнесу – показателя качества квалификации и компетенций управленческого персонала компаний. Через создание бизнес-ориентированной модели Национальной Структуры Квалификаций в России проблема становления и развития российской экономики с точки зрения привлечения зарубежного инвестиционного капитала может получить новое решение.</w:t>
            </w:r>
            <w:r w:rsidRPr="003319A3">
              <w:rPr>
                <w:rFonts w:ascii="Tahoma" w:eastAsia="Times New Roman" w:hAnsi="Tahoma" w:cs="Tahoma"/>
                <w:color w:val="545454"/>
                <w:sz w:val="16"/>
                <w:szCs w:val="16"/>
                <w:lang w:eastAsia="uk-UA"/>
              </w:rPr>
              <w:br/>
              <w:t>Российская модель Национальной Структуры Квалификаций «EU-NQF-R» создавалась  экспертным советом, в который вошли лидеры профессиональных отраслевых сегментов промышленности, представители бизнеса, системы образования, организаций государственного управления.</w:t>
            </w:r>
            <w:r w:rsidRPr="003319A3">
              <w:rPr>
                <w:rFonts w:ascii="Tahoma" w:eastAsia="Times New Roman" w:hAnsi="Tahoma" w:cs="Tahoma"/>
                <w:color w:val="545454"/>
                <w:sz w:val="16"/>
                <w:szCs w:val="16"/>
                <w:lang w:eastAsia="uk-UA"/>
              </w:rPr>
              <w:br/>
              <w:t>Итогом работы экспертов стало создание системы оценки качества квалификаций менеджеров российских компаний и предприятий, с именной сертификацией аттестованного персонала и введением  именных сертификационных свидетельств.</w:t>
            </w:r>
            <w:r w:rsidRPr="003319A3">
              <w:rPr>
                <w:rFonts w:ascii="Tahoma" w:eastAsia="Times New Roman" w:hAnsi="Tahoma" w:cs="Tahoma"/>
                <w:color w:val="545454"/>
                <w:sz w:val="16"/>
                <w:szCs w:val="16"/>
                <w:lang w:eastAsia="uk-UA"/>
              </w:rPr>
              <w:br/>
              <w:t xml:space="preserve">Тщательно проработана и скомпилирована система основных требований к знаниям и практическим умениям, востребованным в профессиональной управленческой среде, создана единая система требований к практическим навыкам и теоретическим знаниям по международным стандартам. </w:t>
            </w:r>
            <w:r w:rsidRPr="003319A3">
              <w:rPr>
                <w:rFonts w:ascii="Tahoma" w:eastAsia="Times New Roman" w:hAnsi="Tahoma" w:cs="Tahoma"/>
                <w:color w:val="545454"/>
                <w:sz w:val="16"/>
                <w:szCs w:val="16"/>
                <w:lang w:eastAsia="uk-UA"/>
              </w:rPr>
              <w:br/>
              <w:t xml:space="preserve">Таким образом, успешная сдача квалификационного экзамена в структуре «EU-NQF-R» – это практическая гарантия подтверждения профессиональной квалификации специалиста и возможностей применения его опыта и знаний, как в российских, так и в международных проектах. Европейский экономический комитет, являясь куратором программы, утвердил как её часть, практическую методику расчёта рейтинга инвестиционной привлекательности компаний и предприятий, основанную на оценке качества квалификации управленческого персонала, с корпоративной сертификацией юридических лиц, имеющих в штате не менее пятидесяти процентов сертифицированных специалистов управленческого звена и введением корпоративных сертификационных свидетельств. </w:t>
            </w:r>
          </w:p>
        </w:tc>
      </w:tr>
      <w:tr w:rsidR="003319A3" w:rsidRPr="003319A3">
        <w:trPr>
          <w:tblCellSpacing w:w="15" w:type="dxa"/>
        </w:trPr>
        <w:tc>
          <w:tcPr>
            <w:tcW w:w="0" w:type="auto"/>
            <w:vAlign w:val="center"/>
            <w:hideMark/>
          </w:tcPr>
          <w:p w:rsidR="003319A3" w:rsidRPr="003319A3" w:rsidRDefault="003319A3" w:rsidP="003319A3">
            <w:pPr>
              <w:spacing w:before="100" w:beforeAutospacing="1" w:after="100" w:afterAutospacing="1" w:line="240" w:lineRule="auto"/>
              <w:rPr>
                <w:rFonts w:ascii="Tahoma" w:eastAsia="Times New Roman" w:hAnsi="Tahoma" w:cs="Tahoma"/>
                <w:color w:val="006F92"/>
                <w:sz w:val="16"/>
                <w:szCs w:val="16"/>
                <w:lang w:eastAsia="uk-UA"/>
              </w:rPr>
            </w:pPr>
            <w:r w:rsidRPr="003319A3">
              <w:rPr>
                <w:rFonts w:ascii="Tahoma" w:eastAsia="Times New Roman" w:hAnsi="Tahoma" w:cs="Tahoma"/>
                <w:b/>
                <w:bCs/>
                <w:color w:val="006F92"/>
                <w:sz w:val="16"/>
                <w:szCs w:val="16"/>
                <w:lang w:eastAsia="uk-UA"/>
              </w:rPr>
              <w:t>Специальности, уровни ротации и оценка квалификаций</w:t>
            </w:r>
            <w:r w:rsidRPr="003319A3">
              <w:rPr>
                <w:rFonts w:ascii="Tahoma" w:eastAsia="Times New Roman" w:hAnsi="Tahoma" w:cs="Tahoma"/>
                <w:b/>
                <w:bCs/>
                <w:color w:val="006F92"/>
                <w:sz w:val="16"/>
                <w:szCs w:val="16"/>
                <w:lang w:eastAsia="uk-UA"/>
              </w:rPr>
              <w:br/>
              <w:t xml:space="preserve">в бизнес - ориентированной модели Национальной Структуры Квалификаций в России </w:t>
            </w:r>
          </w:p>
          <w:p w:rsidR="003319A3" w:rsidRPr="003319A3" w:rsidRDefault="003319A3" w:rsidP="003319A3">
            <w:pPr>
              <w:spacing w:before="100" w:beforeAutospacing="1" w:after="100" w:afterAutospacing="1" w:line="240" w:lineRule="auto"/>
              <w:rPr>
                <w:rFonts w:ascii="Tahoma" w:eastAsia="Times New Roman" w:hAnsi="Tahoma" w:cs="Tahoma"/>
                <w:color w:val="545454"/>
                <w:sz w:val="16"/>
                <w:szCs w:val="16"/>
                <w:lang w:eastAsia="uk-UA"/>
              </w:rPr>
            </w:pPr>
            <w:r w:rsidRPr="003319A3">
              <w:rPr>
                <w:rFonts w:ascii="Tahoma" w:eastAsia="Times New Roman" w:hAnsi="Tahoma" w:cs="Tahoma"/>
                <w:color w:val="545454"/>
                <w:sz w:val="16"/>
                <w:szCs w:val="16"/>
                <w:lang w:eastAsia="uk-UA"/>
              </w:rPr>
              <w:t>Российская модель Национальной Структуры Квалификаций «EU-NQF-R» создавалась  экспертным советом, в который вошли лидеры профессиональных отраслевых сегментов промышленности, представители бизнеса, системы образования, организаций государственного управления.</w:t>
            </w:r>
            <w:r w:rsidRPr="003319A3">
              <w:rPr>
                <w:rFonts w:ascii="Tahoma" w:eastAsia="Times New Roman" w:hAnsi="Tahoma" w:cs="Tahoma"/>
                <w:color w:val="545454"/>
                <w:sz w:val="16"/>
                <w:szCs w:val="16"/>
                <w:lang w:eastAsia="uk-UA"/>
              </w:rPr>
              <w:br/>
              <w:t>Итогом работы экспертов стало создание системы оценки качества квалификаций менеджеров российских компаний и предприятий, с именной сертификацией аттестованного персонала и введением  именных сертификационных свидетельств.</w:t>
            </w:r>
            <w:r w:rsidRPr="003319A3">
              <w:rPr>
                <w:rFonts w:ascii="Tahoma" w:eastAsia="Times New Roman" w:hAnsi="Tahoma" w:cs="Tahoma"/>
                <w:color w:val="545454"/>
                <w:sz w:val="16"/>
                <w:szCs w:val="16"/>
                <w:lang w:eastAsia="uk-UA"/>
              </w:rPr>
              <w:br/>
              <w:t xml:space="preserve">Тщательно проработана и скомпилирована система основных требований к знаниям и практическим умениям, востребованным в профессиональной управленческой среде, создана единая система требований к практическим навыкам и теоретическим знаниям по международным стандартам. </w:t>
            </w:r>
            <w:r w:rsidRPr="003319A3">
              <w:rPr>
                <w:rFonts w:ascii="Tahoma" w:eastAsia="Times New Roman" w:hAnsi="Tahoma" w:cs="Tahoma"/>
                <w:color w:val="545454"/>
                <w:sz w:val="16"/>
                <w:szCs w:val="16"/>
                <w:lang w:eastAsia="uk-UA"/>
              </w:rPr>
              <w:br/>
              <w:t xml:space="preserve">Таким образом, успешная сдача квалификационного экзамена в структуре «EU-NQF-R» – это практическая гарантия подтверждения профессиональной квалификации специалиста и возможностей применения его опыта и знаний, как в российских, так и в международных проектах. Европейский экономический комитет, являясь куратором программы, утвердил как её часть, практическую методику расчёта рейтинга инвестиционной привлекательности компаний и предприятий, основанную на оценке качества квалификации управленческого персонала, с корпоративной сертификацией юридических лиц, имеющих в штате не менее пятидесяти процентов сертифицированных специалистов управленческого звена и введением корпоративных сертификационных свидетельств. </w:t>
            </w:r>
          </w:p>
        </w:tc>
      </w:tr>
      <w:tr w:rsidR="003319A3" w:rsidRPr="003319A3">
        <w:trPr>
          <w:tblCellSpacing w:w="15" w:type="dxa"/>
        </w:trPr>
        <w:tc>
          <w:tcPr>
            <w:tcW w:w="0" w:type="auto"/>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b/>
                <w:bCs/>
                <w:color w:val="006F92"/>
                <w:sz w:val="16"/>
                <w:szCs w:val="16"/>
                <w:lang w:eastAsia="uk-UA"/>
              </w:rPr>
              <w:t>Структура квалификаций и уровни ротации и для российской модели «EU-NQF-R»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9"/>
              <w:gridCol w:w="522"/>
              <w:gridCol w:w="441"/>
              <w:gridCol w:w="522"/>
              <w:gridCol w:w="441"/>
              <w:gridCol w:w="522"/>
              <w:gridCol w:w="600"/>
              <w:gridCol w:w="522"/>
              <w:gridCol w:w="523"/>
              <w:gridCol w:w="601"/>
              <w:gridCol w:w="442"/>
              <w:gridCol w:w="442"/>
              <w:gridCol w:w="682"/>
            </w:tblGrid>
            <w:tr w:rsidR="003319A3" w:rsidRPr="003319A3">
              <w:trPr>
                <w:tblCellSpacing w:w="0" w:type="dxa"/>
              </w:trPr>
              <w:tc>
                <w:tcPr>
                  <w:tcW w:w="7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b/>
                      <w:bCs/>
                      <w:color w:val="006F92"/>
                      <w:sz w:val="16"/>
                      <w:szCs w:val="16"/>
                      <w:lang w:eastAsia="uk-UA"/>
                    </w:rPr>
                    <w:t>NQF RUSSIA</w:t>
                  </w:r>
                  <w:r w:rsidRPr="003319A3">
                    <w:rPr>
                      <w:rFonts w:ascii="Tahoma" w:eastAsia="Times New Roman" w:hAnsi="Tahoma" w:cs="Tahoma"/>
                      <w:color w:val="006F92"/>
                      <w:sz w:val="16"/>
                      <w:szCs w:val="16"/>
                      <w:lang w:eastAsia="uk-UA"/>
                    </w:rPr>
                    <w:t xml:space="preserve"> </w:t>
                  </w:r>
                  <w:r w:rsidRPr="003319A3">
                    <w:rPr>
                      <w:rFonts w:ascii="Tahoma" w:eastAsia="Times New Roman" w:hAnsi="Tahoma" w:cs="Tahoma"/>
                      <w:b/>
                      <w:bCs/>
                      <w:color w:val="006F92"/>
                      <w:sz w:val="16"/>
                      <w:szCs w:val="16"/>
                      <w:lang w:eastAsia="uk-UA"/>
                    </w:rPr>
                    <w:t xml:space="preserve">Business-oriented Model </w:t>
                  </w:r>
                </w:p>
              </w:tc>
              <w:tc>
                <w:tcPr>
                  <w:tcW w:w="4200" w:type="pct"/>
                  <w:gridSpan w:val="12"/>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b/>
                      <w:bCs/>
                      <w:color w:val="006F92"/>
                      <w:sz w:val="16"/>
                      <w:szCs w:val="16"/>
                      <w:lang w:eastAsia="uk-UA"/>
                    </w:rPr>
                    <w:t>Уровни ротации и оценка квалификаций</w:t>
                  </w:r>
                </w:p>
              </w:tc>
            </w:tr>
            <w:tr w:rsidR="003319A3" w:rsidRPr="003319A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rPr>
                      <w:rFonts w:ascii="Tahoma" w:eastAsia="Times New Roman" w:hAnsi="Tahoma" w:cs="Tahoma"/>
                      <w:color w:val="006F92"/>
                      <w:sz w:val="16"/>
                      <w:szCs w:val="16"/>
                      <w:lang w:eastAsia="uk-UA"/>
                    </w:rPr>
                  </w:pPr>
                </w:p>
              </w:tc>
              <w:tc>
                <w:tcPr>
                  <w:tcW w:w="1000" w:type="pct"/>
                  <w:gridSpan w:val="3"/>
                  <w:tcBorders>
                    <w:top w:val="outset" w:sz="6" w:space="0" w:color="auto"/>
                    <w:left w:val="outset" w:sz="6" w:space="0" w:color="auto"/>
                    <w:bottom w:val="outset" w:sz="6" w:space="0" w:color="auto"/>
                    <w:right w:val="outset" w:sz="6" w:space="0" w:color="auto"/>
                  </w:tcBorders>
                  <w:shd w:val="clear" w:color="auto" w:fill="FF00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b/>
                      <w:bCs/>
                      <w:color w:val="FFFFFF"/>
                      <w:sz w:val="13"/>
                      <w:szCs w:val="13"/>
                      <w:lang w:eastAsia="uk-UA"/>
                    </w:rPr>
                  </w:pPr>
                  <w:r w:rsidRPr="003319A3">
                    <w:rPr>
                      <w:rFonts w:ascii="Tahoma" w:eastAsia="Times New Roman" w:hAnsi="Tahoma" w:cs="Tahoma"/>
                      <w:b/>
                      <w:bCs/>
                      <w:color w:val="FFFFFF"/>
                      <w:sz w:val="13"/>
                      <w:szCs w:val="13"/>
                      <w:lang w:eastAsia="uk-UA"/>
                    </w:rPr>
                    <w:t xml:space="preserve">Professional </w:t>
                  </w:r>
                </w:p>
              </w:tc>
              <w:tc>
                <w:tcPr>
                  <w:tcW w:w="1050" w:type="pct"/>
                  <w:gridSpan w:val="3"/>
                  <w:tcBorders>
                    <w:top w:val="outset" w:sz="6" w:space="0" w:color="auto"/>
                    <w:left w:val="outset" w:sz="6" w:space="0" w:color="auto"/>
                    <w:bottom w:val="outset" w:sz="6" w:space="0" w:color="auto"/>
                    <w:right w:val="outset" w:sz="6" w:space="0" w:color="auto"/>
                  </w:tcBorders>
                  <w:shd w:val="clear" w:color="auto" w:fill="FFFF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b/>
                      <w:bCs/>
                      <w:color w:val="006F92"/>
                      <w:sz w:val="13"/>
                      <w:szCs w:val="13"/>
                      <w:lang w:eastAsia="uk-UA"/>
                    </w:rPr>
                  </w:pPr>
                  <w:r w:rsidRPr="003319A3">
                    <w:rPr>
                      <w:rFonts w:ascii="Tahoma" w:eastAsia="Times New Roman" w:hAnsi="Tahoma" w:cs="Tahoma"/>
                      <w:b/>
                      <w:bCs/>
                      <w:color w:val="006F92"/>
                      <w:sz w:val="13"/>
                      <w:szCs w:val="13"/>
                      <w:lang w:eastAsia="uk-UA"/>
                    </w:rPr>
                    <w:t xml:space="preserve">Expert </w:t>
                  </w:r>
                </w:p>
              </w:tc>
              <w:tc>
                <w:tcPr>
                  <w:tcW w:w="1100" w:type="pct"/>
                  <w:gridSpan w:val="3"/>
                  <w:tcBorders>
                    <w:top w:val="outset" w:sz="6" w:space="0" w:color="auto"/>
                    <w:left w:val="outset" w:sz="6" w:space="0" w:color="auto"/>
                    <w:bottom w:val="outset" w:sz="6" w:space="0" w:color="auto"/>
                    <w:right w:val="outset" w:sz="6" w:space="0" w:color="auto"/>
                  </w:tcBorders>
                  <w:shd w:val="clear" w:color="auto" w:fill="0000FF"/>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b/>
                      <w:bCs/>
                      <w:color w:val="FFFFFF"/>
                      <w:sz w:val="13"/>
                      <w:szCs w:val="13"/>
                      <w:lang w:eastAsia="uk-UA"/>
                    </w:rPr>
                  </w:pPr>
                  <w:r w:rsidRPr="003319A3">
                    <w:rPr>
                      <w:rFonts w:ascii="Tahoma" w:eastAsia="Times New Roman" w:hAnsi="Tahoma" w:cs="Tahoma"/>
                      <w:b/>
                      <w:bCs/>
                      <w:color w:val="FFFFFF"/>
                      <w:sz w:val="13"/>
                      <w:szCs w:val="13"/>
                      <w:lang w:eastAsia="uk-UA"/>
                    </w:rPr>
                    <w:t xml:space="preserve">Master </w:t>
                  </w:r>
                </w:p>
              </w:tc>
              <w:tc>
                <w:tcPr>
                  <w:tcW w:w="1000" w:type="pct"/>
                  <w:gridSpan w:val="3"/>
                  <w:tcBorders>
                    <w:top w:val="outset" w:sz="6" w:space="0" w:color="auto"/>
                    <w:left w:val="outset" w:sz="6" w:space="0" w:color="auto"/>
                    <w:bottom w:val="outset" w:sz="6" w:space="0" w:color="auto"/>
                    <w:right w:val="outset" w:sz="6" w:space="0" w:color="auto"/>
                  </w:tcBorders>
                  <w:shd w:val="clear" w:color="auto" w:fill="00FF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b/>
                      <w:bCs/>
                      <w:color w:val="006F92"/>
                      <w:sz w:val="13"/>
                      <w:szCs w:val="13"/>
                      <w:lang w:eastAsia="uk-UA"/>
                    </w:rPr>
                  </w:pPr>
                  <w:r w:rsidRPr="003319A3">
                    <w:rPr>
                      <w:rFonts w:ascii="Tahoma" w:eastAsia="Times New Roman" w:hAnsi="Tahoma" w:cs="Tahoma"/>
                      <w:b/>
                      <w:bCs/>
                      <w:color w:val="006F92"/>
                      <w:sz w:val="13"/>
                      <w:szCs w:val="13"/>
                      <w:lang w:eastAsia="uk-UA"/>
                    </w:rPr>
                    <w:t xml:space="preserve">Specialist </w:t>
                  </w:r>
                </w:p>
              </w:tc>
            </w:tr>
            <w:tr w:rsidR="003319A3" w:rsidRPr="003319A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rPr>
                      <w:rFonts w:ascii="Tahoma" w:eastAsia="Times New Roman" w:hAnsi="Tahoma" w:cs="Tahoma"/>
                      <w:color w:val="006F92"/>
                      <w:sz w:val="16"/>
                      <w:szCs w:val="16"/>
                      <w:lang w:eastAsia="uk-UA"/>
                    </w:rPr>
                  </w:pPr>
                </w:p>
              </w:tc>
              <w:tc>
                <w:tcPr>
                  <w:tcW w:w="4200" w:type="pct"/>
                  <w:gridSpan w:val="12"/>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999999"/>
                      <w:sz w:val="13"/>
                      <w:szCs w:val="13"/>
                      <w:lang w:eastAsia="uk-UA"/>
                    </w:rPr>
                  </w:pPr>
                  <w:r w:rsidRPr="003319A3">
                    <w:rPr>
                      <w:rFonts w:ascii="Tahoma" w:eastAsia="Times New Roman" w:hAnsi="Tahoma" w:cs="Tahoma"/>
                      <w:color w:val="999999"/>
                      <w:sz w:val="13"/>
                      <w:szCs w:val="13"/>
                      <w:lang w:eastAsia="uk-UA"/>
                    </w:rPr>
                    <w:t>% показатель правильных ответов аттестационного задания,</w:t>
                  </w:r>
                  <w:r w:rsidRPr="003319A3">
                    <w:rPr>
                      <w:rFonts w:ascii="Tahoma" w:eastAsia="Times New Roman" w:hAnsi="Tahoma" w:cs="Tahoma"/>
                      <w:color w:val="999999"/>
                      <w:sz w:val="13"/>
                      <w:szCs w:val="13"/>
                      <w:lang w:eastAsia="uk-UA"/>
                    </w:rPr>
                    <w:br/>
                  </w:r>
                  <w:r w:rsidRPr="003319A3">
                    <w:rPr>
                      <w:rFonts w:ascii="Tahoma" w:eastAsia="Times New Roman" w:hAnsi="Tahoma" w:cs="Tahoma"/>
                      <w:color w:val="999999"/>
                      <w:sz w:val="13"/>
                      <w:szCs w:val="13"/>
                      <w:lang w:eastAsia="uk-UA"/>
                    </w:rPr>
                    <w:lastRenderedPageBreak/>
                    <w:t xml:space="preserve">необходимый для получения соискателем степени National Qualifications Framework Russia следующих уровней </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006F92"/>
                      <w:sz w:val="15"/>
                      <w:szCs w:val="15"/>
                      <w:lang w:eastAsia="uk-UA"/>
                    </w:rPr>
                  </w:pPr>
                  <w:r w:rsidRPr="003319A3">
                    <w:rPr>
                      <w:rFonts w:ascii="Arial" w:eastAsia="Times New Roman" w:hAnsi="Arial" w:cs="Arial"/>
                      <w:color w:val="006F92"/>
                      <w:sz w:val="15"/>
                      <w:szCs w:val="15"/>
                      <w:lang w:eastAsia="uk-UA"/>
                    </w:rPr>
                    <w:lastRenderedPageBreak/>
                    <w:t xml:space="preserve">Наименование специализации </w:t>
                  </w:r>
                </w:p>
              </w:tc>
              <w:tc>
                <w:tcPr>
                  <w:tcW w:w="350" w:type="pct"/>
                  <w:tcBorders>
                    <w:top w:val="outset" w:sz="6" w:space="0" w:color="auto"/>
                    <w:left w:val="outset" w:sz="6" w:space="0" w:color="auto"/>
                    <w:bottom w:val="outset" w:sz="6" w:space="0" w:color="auto"/>
                    <w:right w:val="outset" w:sz="6" w:space="0" w:color="auto"/>
                  </w:tcBorders>
                  <w:shd w:val="clear" w:color="auto" w:fill="FF00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FFFFFF"/>
                      <w:sz w:val="15"/>
                      <w:szCs w:val="15"/>
                      <w:lang w:eastAsia="uk-UA"/>
                    </w:rPr>
                  </w:pPr>
                  <w:r w:rsidRPr="003319A3">
                    <w:rPr>
                      <w:rFonts w:ascii="Tahoma" w:eastAsia="Times New Roman" w:hAnsi="Tahoma" w:cs="Tahoma"/>
                      <w:color w:val="FFFFFF"/>
                      <w:sz w:val="15"/>
                      <w:szCs w:val="15"/>
                      <w:lang w:eastAsia="uk-UA"/>
                    </w:rPr>
                    <w:t>Level A</w:t>
                  </w:r>
                </w:p>
              </w:tc>
              <w:tc>
                <w:tcPr>
                  <w:tcW w:w="300" w:type="pct"/>
                  <w:tcBorders>
                    <w:top w:val="outset" w:sz="6" w:space="0" w:color="auto"/>
                    <w:left w:val="outset" w:sz="6" w:space="0" w:color="auto"/>
                    <w:bottom w:val="outset" w:sz="6" w:space="0" w:color="auto"/>
                    <w:right w:val="outset" w:sz="6" w:space="0" w:color="auto"/>
                  </w:tcBorders>
                  <w:shd w:val="clear" w:color="auto" w:fill="FF00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FFFFFF"/>
                      <w:sz w:val="15"/>
                      <w:szCs w:val="15"/>
                      <w:lang w:eastAsia="uk-UA"/>
                    </w:rPr>
                  </w:pPr>
                  <w:r w:rsidRPr="003319A3">
                    <w:rPr>
                      <w:rFonts w:ascii="Tahoma" w:eastAsia="Times New Roman" w:hAnsi="Tahoma" w:cs="Tahoma"/>
                      <w:color w:val="FFFFFF"/>
                      <w:sz w:val="15"/>
                      <w:szCs w:val="15"/>
                      <w:lang w:eastAsia="uk-UA"/>
                    </w:rPr>
                    <w:t>Level B</w:t>
                  </w:r>
                </w:p>
              </w:tc>
              <w:tc>
                <w:tcPr>
                  <w:tcW w:w="300" w:type="pct"/>
                  <w:tcBorders>
                    <w:top w:val="outset" w:sz="6" w:space="0" w:color="auto"/>
                    <w:left w:val="outset" w:sz="6" w:space="0" w:color="auto"/>
                    <w:bottom w:val="outset" w:sz="6" w:space="0" w:color="auto"/>
                    <w:right w:val="outset" w:sz="6" w:space="0" w:color="auto"/>
                  </w:tcBorders>
                  <w:shd w:val="clear" w:color="auto" w:fill="FF00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FFFFFF"/>
                      <w:sz w:val="15"/>
                      <w:szCs w:val="15"/>
                      <w:lang w:eastAsia="uk-UA"/>
                    </w:rPr>
                  </w:pPr>
                  <w:r w:rsidRPr="003319A3">
                    <w:rPr>
                      <w:rFonts w:ascii="Tahoma" w:eastAsia="Times New Roman" w:hAnsi="Tahoma" w:cs="Tahoma"/>
                      <w:color w:val="FFFFFF"/>
                      <w:sz w:val="15"/>
                      <w:szCs w:val="15"/>
                      <w:lang w:eastAsia="uk-UA"/>
                    </w:rPr>
                    <w:t>Level C</w:t>
                  </w:r>
                </w:p>
              </w:tc>
              <w:tc>
                <w:tcPr>
                  <w:tcW w:w="3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Level A</w:t>
                  </w:r>
                </w:p>
              </w:tc>
              <w:tc>
                <w:tcPr>
                  <w:tcW w:w="35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Level B</w:t>
                  </w:r>
                </w:p>
              </w:tc>
              <w:tc>
                <w:tcPr>
                  <w:tcW w:w="3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Level C</w:t>
                  </w:r>
                </w:p>
              </w:tc>
              <w:tc>
                <w:tcPr>
                  <w:tcW w:w="350" w:type="pct"/>
                  <w:tcBorders>
                    <w:top w:val="outset" w:sz="6" w:space="0" w:color="auto"/>
                    <w:left w:val="outset" w:sz="6" w:space="0" w:color="auto"/>
                    <w:bottom w:val="outset" w:sz="6" w:space="0" w:color="auto"/>
                    <w:right w:val="outset" w:sz="6" w:space="0" w:color="auto"/>
                  </w:tcBorders>
                  <w:shd w:val="clear" w:color="auto" w:fill="0000FF"/>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FFFFFF"/>
                      <w:sz w:val="15"/>
                      <w:szCs w:val="15"/>
                      <w:lang w:eastAsia="uk-UA"/>
                    </w:rPr>
                  </w:pPr>
                  <w:r w:rsidRPr="003319A3">
                    <w:rPr>
                      <w:rFonts w:ascii="Tahoma" w:eastAsia="Times New Roman" w:hAnsi="Tahoma" w:cs="Tahoma"/>
                      <w:color w:val="FFFFFF"/>
                      <w:sz w:val="15"/>
                      <w:szCs w:val="15"/>
                      <w:lang w:eastAsia="uk-UA"/>
                    </w:rPr>
                    <w:t>Level A</w:t>
                  </w:r>
                </w:p>
              </w:tc>
              <w:tc>
                <w:tcPr>
                  <w:tcW w:w="350" w:type="pct"/>
                  <w:tcBorders>
                    <w:top w:val="outset" w:sz="6" w:space="0" w:color="auto"/>
                    <w:left w:val="outset" w:sz="6" w:space="0" w:color="auto"/>
                    <w:bottom w:val="outset" w:sz="6" w:space="0" w:color="auto"/>
                    <w:right w:val="outset" w:sz="6" w:space="0" w:color="auto"/>
                  </w:tcBorders>
                  <w:shd w:val="clear" w:color="auto" w:fill="0000FF"/>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FFFFFF"/>
                      <w:sz w:val="15"/>
                      <w:szCs w:val="15"/>
                      <w:lang w:eastAsia="uk-UA"/>
                    </w:rPr>
                  </w:pPr>
                  <w:r w:rsidRPr="003319A3">
                    <w:rPr>
                      <w:rFonts w:ascii="Tahoma" w:eastAsia="Times New Roman" w:hAnsi="Tahoma" w:cs="Tahoma"/>
                      <w:color w:val="FFFFFF"/>
                      <w:sz w:val="15"/>
                      <w:szCs w:val="15"/>
                      <w:lang w:eastAsia="uk-UA"/>
                    </w:rPr>
                    <w:t>Level B</w:t>
                  </w:r>
                </w:p>
              </w:tc>
              <w:tc>
                <w:tcPr>
                  <w:tcW w:w="300" w:type="pct"/>
                  <w:tcBorders>
                    <w:top w:val="outset" w:sz="6" w:space="0" w:color="auto"/>
                    <w:left w:val="outset" w:sz="6" w:space="0" w:color="auto"/>
                    <w:bottom w:val="outset" w:sz="6" w:space="0" w:color="auto"/>
                    <w:right w:val="outset" w:sz="6" w:space="0" w:color="auto"/>
                  </w:tcBorders>
                  <w:shd w:val="clear" w:color="auto" w:fill="0000FF"/>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FFFFFF"/>
                      <w:sz w:val="15"/>
                      <w:szCs w:val="15"/>
                      <w:lang w:eastAsia="uk-UA"/>
                    </w:rPr>
                  </w:pPr>
                  <w:r w:rsidRPr="003319A3">
                    <w:rPr>
                      <w:rFonts w:ascii="Tahoma" w:eastAsia="Times New Roman" w:hAnsi="Tahoma" w:cs="Tahoma"/>
                      <w:color w:val="FFFFFF"/>
                      <w:sz w:val="15"/>
                      <w:szCs w:val="15"/>
                      <w:lang w:eastAsia="uk-UA"/>
                    </w:rPr>
                    <w:t>Level C</w:t>
                  </w:r>
                </w:p>
              </w:tc>
              <w:tc>
                <w:tcPr>
                  <w:tcW w:w="300" w:type="pct"/>
                  <w:tcBorders>
                    <w:top w:val="outset" w:sz="6" w:space="0" w:color="auto"/>
                    <w:left w:val="outset" w:sz="6" w:space="0" w:color="auto"/>
                    <w:bottom w:val="outset" w:sz="6" w:space="0" w:color="auto"/>
                    <w:right w:val="outset" w:sz="6" w:space="0" w:color="auto"/>
                  </w:tcBorders>
                  <w:shd w:val="clear" w:color="auto" w:fill="00FF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Level A</w:t>
                  </w:r>
                </w:p>
              </w:tc>
              <w:tc>
                <w:tcPr>
                  <w:tcW w:w="300" w:type="pct"/>
                  <w:tcBorders>
                    <w:top w:val="outset" w:sz="6" w:space="0" w:color="auto"/>
                    <w:left w:val="outset" w:sz="6" w:space="0" w:color="auto"/>
                    <w:bottom w:val="outset" w:sz="6" w:space="0" w:color="auto"/>
                    <w:right w:val="outset" w:sz="6" w:space="0" w:color="auto"/>
                  </w:tcBorders>
                  <w:shd w:val="clear" w:color="auto" w:fill="00FF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Level B</w:t>
                  </w:r>
                </w:p>
              </w:tc>
              <w:tc>
                <w:tcPr>
                  <w:tcW w:w="350" w:type="pct"/>
                  <w:tcBorders>
                    <w:top w:val="outset" w:sz="6" w:space="0" w:color="auto"/>
                    <w:left w:val="outset" w:sz="6" w:space="0" w:color="auto"/>
                    <w:bottom w:val="outset" w:sz="6" w:space="0" w:color="auto"/>
                    <w:right w:val="outset" w:sz="6" w:space="0" w:color="auto"/>
                  </w:tcBorders>
                  <w:shd w:val="clear" w:color="auto" w:fill="00FF00"/>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Level C</w:t>
                  </w:r>
                </w:p>
              </w:tc>
            </w:tr>
            <w:tr w:rsidR="003319A3" w:rsidRPr="003319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666666"/>
                      <w:sz w:val="16"/>
                      <w:szCs w:val="16"/>
                      <w:lang w:eastAsia="uk-UA"/>
                    </w:rPr>
                  </w:pPr>
                  <w:r w:rsidRPr="003319A3">
                    <w:rPr>
                      <w:rFonts w:ascii="Arial" w:eastAsia="Times New Roman" w:hAnsi="Arial" w:cs="Arial"/>
                      <w:color w:val="666666"/>
                      <w:sz w:val="15"/>
                      <w:lang w:eastAsia="uk-UA"/>
                    </w:rPr>
                    <w:t xml:space="preserve">Управление организацией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97 - 91</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90 -81</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6"/>
                      <w:lang w:eastAsia="uk-UA"/>
                    </w:rPr>
                    <w:t>80 - 75</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74 - 65</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64 - 58</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57 - 51</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50 - 45</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44 - 40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39 - 30</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Финансы и международные стандарты финансовой отчётности</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99</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98</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97 - 91</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90 -81</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6"/>
                      <w:szCs w:val="16"/>
                      <w:lang w:eastAsia="uk-UA"/>
                    </w:rPr>
                    <w:t>80 - 75</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74 - 65</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64 - 58</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57 - 51</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50 - 45</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44 - 40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39 - 30</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Корпоративное управление</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97 - 91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90 - 81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80 - 75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74 - 65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64 - 58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57 - 51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50 - 45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44 - 40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39 - 30</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 xml:space="preserve">Управление персоналом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99 - 97</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96 - 95</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94 - 88</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87 - 78</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77 - 70</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69 - 63</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62 - 57</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56 - 51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50 - 41</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40 - 31</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30 - 25</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 xml:space="preserve">Правовое сопровождение бизнеса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97 - 91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90 - 81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80 - 75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74 - 65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64 - 58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57 - 51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50 - 45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44 - 40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39 - 30 </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 xml:space="preserve">Внешнеэкономическая деятельность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97 - 91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90 - 81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80 - 75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74 - 65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64 - 58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57 - 51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50 - 45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44 - 40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39 - 30 </w:t>
                  </w:r>
                </w:p>
              </w:tc>
            </w:tr>
            <w:tr w:rsidR="003319A3" w:rsidRPr="003319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666666"/>
                      <w:sz w:val="16"/>
                      <w:szCs w:val="16"/>
                      <w:lang w:eastAsia="uk-UA"/>
                    </w:rPr>
                  </w:pPr>
                  <w:r w:rsidRPr="003319A3">
                    <w:rPr>
                      <w:rFonts w:ascii="Arial" w:eastAsia="Times New Roman" w:hAnsi="Arial" w:cs="Arial"/>
                      <w:color w:val="666666"/>
                      <w:sz w:val="15"/>
                      <w:lang w:eastAsia="uk-UA"/>
                    </w:rPr>
                    <w:t>Корпоративная 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 xml:space="preserve">98 </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97 - 91</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 xml:space="preserve">90 - 81 </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80 - 75</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74 - 65</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64 - 58</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57 - 51</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 xml:space="preserve">50 - 45 </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44 - 40</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6"/>
                      <w:szCs w:val="16"/>
                      <w:lang w:eastAsia="uk-UA"/>
                    </w:rPr>
                  </w:pPr>
                  <w:r w:rsidRPr="003319A3">
                    <w:rPr>
                      <w:rFonts w:ascii="Tahoma" w:eastAsia="Times New Roman" w:hAnsi="Tahoma" w:cs="Tahoma"/>
                      <w:color w:val="006F92"/>
                      <w:sz w:val="15"/>
                      <w:lang w:eastAsia="uk-UA"/>
                    </w:rPr>
                    <w:t>39 - 30</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 xml:space="preserve">Маркетинг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99 - 97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96 - 95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94 - 88</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87 - 78</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77 - 70</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69 - 63</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62 - 57</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56 - 51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50 - 41</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40 - 31</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30 - 25 </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 xml:space="preserve">Корпоративные IT – решения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97 - 91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90 - 81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80 - 75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74 - 65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64 - 58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57 - 51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50 - 45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44 - 40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39 - 30 </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 xml:space="preserve">Управление инновациями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99 - 97</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96 - 95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94 - 88</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87 - 78</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77 - 70</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69 - 63</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62 - 57</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56 - 51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50 - 41</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40 - 31</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30 - 25 </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 xml:space="preserve">Профессиональный имидж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98 - 97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96 - 95</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94 - 88</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87 - 78</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77 - 70</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69 - 63</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62 - 57</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56 - 51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50 - 41</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40 - 31</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30 - 25 </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Логистика</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97 - 91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90 - 81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80 - 75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74 - 65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64 - 58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57 - 51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50 - 45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44 - 40</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39 - 30 </w:t>
                  </w:r>
                </w:p>
              </w:tc>
            </w:tr>
            <w:tr w:rsidR="003319A3" w:rsidRPr="003319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666666"/>
                      <w:sz w:val="16"/>
                      <w:szCs w:val="16"/>
                      <w:lang w:eastAsia="uk-UA"/>
                    </w:rPr>
                  </w:pPr>
                  <w:r w:rsidRPr="003319A3">
                    <w:rPr>
                      <w:rFonts w:ascii="Arial" w:eastAsia="Times New Roman" w:hAnsi="Arial" w:cs="Arial"/>
                      <w:color w:val="666666"/>
                      <w:sz w:val="15"/>
                      <w:lang w:eastAsia="uk-UA"/>
                    </w:rPr>
                    <w:t>Организационная культура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98 - 97</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96 - 95</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94 - 88</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87 - 78</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77 - 70</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69 - 63</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62 - 57</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56 - 51</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50 - 41</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40 - 31</w:t>
                  </w:r>
                </w:p>
              </w:tc>
              <w:tc>
                <w:tcPr>
                  <w:tcW w:w="0" w:type="auto"/>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after="0"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lang w:eastAsia="uk-UA"/>
                    </w:rPr>
                    <w:t>30 - 25</w:t>
                  </w:r>
                </w:p>
              </w:tc>
            </w:tr>
            <w:tr w:rsidR="003319A3" w:rsidRPr="003319A3">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Arial" w:eastAsia="Times New Roman" w:hAnsi="Arial" w:cs="Arial"/>
                      <w:color w:val="666666"/>
                      <w:sz w:val="15"/>
                      <w:szCs w:val="15"/>
                      <w:lang w:eastAsia="uk-UA"/>
                    </w:rPr>
                  </w:pPr>
                  <w:r w:rsidRPr="003319A3">
                    <w:rPr>
                      <w:rFonts w:ascii="Arial" w:eastAsia="Times New Roman" w:hAnsi="Arial" w:cs="Arial"/>
                      <w:color w:val="666666"/>
                      <w:sz w:val="15"/>
                      <w:szCs w:val="15"/>
                      <w:lang w:eastAsia="uk-UA"/>
                    </w:rPr>
                    <w:t xml:space="preserve">Рекламные технологии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99 - 97</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96 - 95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94 - 88</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90 - 81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77 - 70</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69 - 63</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62 - 57</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56 - 51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50 - 41</w:t>
                  </w:r>
                </w:p>
              </w:tc>
              <w:tc>
                <w:tcPr>
                  <w:tcW w:w="30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40 - 31</w:t>
                  </w:r>
                </w:p>
              </w:tc>
              <w:tc>
                <w:tcPr>
                  <w:tcW w:w="350" w:type="pct"/>
                  <w:tcBorders>
                    <w:top w:val="outset" w:sz="6" w:space="0" w:color="auto"/>
                    <w:left w:val="outset" w:sz="6" w:space="0" w:color="auto"/>
                    <w:bottom w:val="outset" w:sz="6" w:space="0" w:color="auto"/>
                    <w:right w:val="outset" w:sz="6" w:space="0" w:color="auto"/>
                  </w:tcBorders>
                  <w:vAlign w:val="center"/>
                  <w:hideMark/>
                </w:tcPr>
                <w:p w:rsidR="003319A3" w:rsidRPr="003319A3" w:rsidRDefault="003319A3" w:rsidP="003319A3">
                  <w:pPr>
                    <w:spacing w:before="100" w:beforeAutospacing="1" w:after="100" w:afterAutospacing="1" w:line="240" w:lineRule="auto"/>
                    <w:jc w:val="center"/>
                    <w:rPr>
                      <w:rFonts w:ascii="Tahoma" w:eastAsia="Times New Roman" w:hAnsi="Tahoma" w:cs="Tahoma"/>
                      <w:color w:val="006F92"/>
                      <w:sz w:val="15"/>
                      <w:szCs w:val="15"/>
                      <w:lang w:eastAsia="uk-UA"/>
                    </w:rPr>
                  </w:pPr>
                  <w:r w:rsidRPr="003319A3">
                    <w:rPr>
                      <w:rFonts w:ascii="Tahoma" w:eastAsia="Times New Roman" w:hAnsi="Tahoma" w:cs="Tahoma"/>
                      <w:color w:val="006F92"/>
                      <w:sz w:val="15"/>
                      <w:szCs w:val="15"/>
                      <w:lang w:eastAsia="uk-UA"/>
                    </w:rPr>
                    <w:t xml:space="preserve">30 - 25 </w:t>
                  </w:r>
                </w:p>
              </w:tc>
            </w:tr>
          </w:tbl>
          <w:p w:rsidR="003319A3" w:rsidRPr="003319A3" w:rsidRDefault="003319A3" w:rsidP="003319A3">
            <w:pPr>
              <w:spacing w:after="0" w:line="240" w:lineRule="auto"/>
              <w:rPr>
                <w:rFonts w:ascii="Times New Roman" w:eastAsia="Times New Roman" w:hAnsi="Times New Roman" w:cs="Times New Roman"/>
                <w:sz w:val="24"/>
                <w:szCs w:val="24"/>
                <w:lang w:eastAsia="uk-UA"/>
              </w:rPr>
            </w:pPr>
          </w:p>
        </w:tc>
      </w:tr>
      <w:tr w:rsidR="003319A3" w:rsidRPr="003319A3">
        <w:trPr>
          <w:tblCellSpacing w:w="15" w:type="dxa"/>
        </w:trPr>
        <w:tc>
          <w:tcPr>
            <w:tcW w:w="0" w:type="auto"/>
            <w:vAlign w:val="center"/>
            <w:hideMark/>
          </w:tcPr>
          <w:p w:rsidR="003319A3" w:rsidRPr="003319A3" w:rsidRDefault="003319A3" w:rsidP="003319A3">
            <w:pPr>
              <w:spacing w:before="100" w:beforeAutospacing="1" w:after="100" w:afterAutospacing="1" w:line="240" w:lineRule="auto"/>
              <w:rPr>
                <w:rFonts w:ascii="Tahoma" w:eastAsia="Times New Roman" w:hAnsi="Tahoma" w:cs="Tahoma"/>
                <w:color w:val="545454"/>
                <w:sz w:val="16"/>
                <w:szCs w:val="16"/>
                <w:lang w:eastAsia="uk-UA"/>
              </w:rPr>
            </w:pPr>
            <w:r w:rsidRPr="003319A3">
              <w:rPr>
                <w:rFonts w:ascii="Tahoma" w:eastAsia="Times New Roman" w:hAnsi="Tahoma" w:cs="Tahoma"/>
                <w:b/>
                <w:bCs/>
                <w:color w:val="006F92"/>
                <w:sz w:val="16"/>
                <w:szCs w:val="16"/>
                <w:lang w:eastAsia="uk-UA"/>
              </w:rPr>
              <w:lastRenderedPageBreak/>
              <w:t>Рейтинг инвестиционной привлекательности российских компаний</w:t>
            </w:r>
            <w:r w:rsidRPr="003319A3">
              <w:rPr>
                <w:rFonts w:ascii="Tahoma" w:eastAsia="Times New Roman" w:hAnsi="Tahoma" w:cs="Tahoma"/>
                <w:b/>
                <w:bCs/>
                <w:color w:val="006F92"/>
                <w:sz w:val="16"/>
                <w:szCs w:val="16"/>
                <w:lang w:eastAsia="uk-UA"/>
              </w:rPr>
              <w:br/>
              <w:t>по оценке качества квалификации аттестованного персонала</w:t>
            </w:r>
            <w:r w:rsidRPr="003319A3">
              <w:rPr>
                <w:rFonts w:ascii="Tahoma" w:eastAsia="Times New Roman" w:hAnsi="Tahoma" w:cs="Tahoma"/>
                <w:color w:val="545454"/>
                <w:sz w:val="16"/>
                <w:szCs w:val="16"/>
                <w:lang w:eastAsia="uk-UA"/>
              </w:rPr>
              <w:br/>
            </w:r>
            <w:r w:rsidRPr="003319A3">
              <w:rPr>
                <w:rFonts w:ascii="Tahoma" w:eastAsia="Times New Roman" w:hAnsi="Tahoma" w:cs="Tahoma"/>
                <w:color w:val="545454"/>
                <w:sz w:val="16"/>
                <w:szCs w:val="16"/>
                <w:lang w:eastAsia="uk-UA"/>
              </w:rPr>
              <w:br/>
              <w:t>Методика программы «Расчёт рейтинга инвестиционной привлекательности компаний и предприятий по оценке качества квалификации управленческого персонала» создавалась как совместный продукт «Средиземноморского Центра бизнес-образования» (Кипр) и Компании Рейтинговое агентство «Global Media Group» (Россия).</w:t>
            </w:r>
            <w:r w:rsidRPr="003319A3">
              <w:rPr>
                <w:rFonts w:ascii="Tahoma" w:eastAsia="Times New Roman" w:hAnsi="Tahoma" w:cs="Tahoma"/>
                <w:color w:val="545454"/>
                <w:sz w:val="16"/>
                <w:szCs w:val="16"/>
                <w:lang w:eastAsia="uk-UA"/>
              </w:rPr>
              <w:br/>
              <w:t>Методика была утверждена Европейским Экономическим Комитетом, как официальная часть программы Национальной Структуры Квалификаций в России.</w:t>
            </w:r>
            <w:r w:rsidRPr="003319A3">
              <w:rPr>
                <w:rFonts w:ascii="Tahoma" w:eastAsia="Times New Roman" w:hAnsi="Tahoma" w:cs="Tahoma"/>
                <w:color w:val="545454"/>
                <w:sz w:val="16"/>
                <w:szCs w:val="16"/>
                <w:lang w:eastAsia="uk-UA"/>
              </w:rPr>
              <w:br/>
              <w:t>Реализация программы расчёта рейтинга инвестиционной привлекательности компаний и предприятий по оценке качества квалификации управленческого персонала на территории Российской Федерации осуществляется на основании ратифицированного 14 марта 2008 года Многостороннего Генерального Соглашения, в которое сторонами вошли: Европейский Экономический Комитет (Бельгия, Люксембург), Некоммерческое партнёрство «Корпоративный клуб МВА ВАВТ» – «Внешторгклуб» (Россия), Средиземноморский Центр бизнес-образования (Кипр), Рейтинговое Агентство «Global Media Group» (Россия).</w:t>
            </w:r>
            <w:r w:rsidRPr="003319A3">
              <w:rPr>
                <w:rFonts w:ascii="Tahoma" w:eastAsia="Times New Roman" w:hAnsi="Tahoma" w:cs="Tahoma"/>
                <w:color w:val="545454"/>
                <w:sz w:val="16"/>
                <w:szCs w:val="16"/>
                <w:lang w:eastAsia="uk-UA"/>
              </w:rPr>
              <w:br/>
              <w:t xml:space="preserve">Задача программы – расчёт и публикация рейтинговых данных о российских компаниях в международных электронных изданиях и в сетях мировых информационных агентств. </w:t>
            </w:r>
            <w:r w:rsidRPr="003319A3">
              <w:rPr>
                <w:rFonts w:ascii="Tahoma" w:eastAsia="Times New Roman" w:hAnsi="Tahoma" w:cs="Tahoma"/>
                <w:color w:val="545454"/>
                <w:sz w:val="16"/>
                <w:szCs w:val="16"/>
                <w:lang w:eastAsia="uk-UA"/>
              </w:rPr>
              <w:br/>
              <w:t xml:space="preserve">Рейтинги, новости и статистика программы доступны на официальных сайтах в Интернет: www.g-m-group.com и www.eurocommittee.org/Russia-EU-Certified </w:t>
            </w:r>
            <w:r w:rsidRPr="003319A3">
              <w:rPr>
                <w:rFonts w:ascii="Tahoma" w:eastAsia="Times New Roman" w:hAnsi="Tahoma" w:cs="Tahoma"/>
                <w:color w:val="545454"/>
                <w:sz w:val="16"/>
                <w:szCs w:val="16"/>
                <w:lang w:eastAsia="uk-UA"/>
              </w:rPr>
              <w:br/>
              <w:t>Запланированным итогом реализации программы должен стать тот факт, что российские компании получат возможности привлечения инвестиционных формирований из-за рубежа и откроют новые перспективы международного партнёрства, а российские специалисты повысят личную капитализацию на отечественном и международном рынках труда.</w:t>
            </w:r>
          </w:p>
        </w:tc>
      </w:tr>
    </w:tbl>
    <w:p w:rsidR="0021024F" w:rsidRDefault="0021024F"/>
    <w:sectPr w:rsidR="0021024F" w:rsidSect="0021024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compat/>
  <w:rsids>
    <w:rsidRoot w:val="003319A3"/>
    <w:rsid w:val="0021024F"/>
    <w:rsid w:val="003319A3"/>
    <w:rsid w:val="00497FF8"/>
    <w:rsid w:val="004A3D7D"/>
    <w:rsid w:val="00962365"/>
    <w:rsid w:val="00AB1532"/>
    <w:rsid w:val="00EA74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9">
    <w:name w:val="tah9"/>
    <w:basedOn w:val="a"/>
    <w:rsid w:val="003319A3"/>
    <w:pPr>
      <w:spacing w:before="100" w:beforeAutospacing="1" w:after="100" w:afterAutospacing="1" w:line="240" w:lineRule="auto"/>
    </w:pPr>
    <w:rPr>
      <w:rFonts w:ascii="Tahoma" w:eastAsia="Times New Roman" w:hAnsi="Tahoma" w:cs="Tahoma"/>
      <w:color w:val="999999"/>
      <w:sz w:val="13"/>
      <w:szCs w:val="13"/>
      <w:lang w:eastAsia="uk-UA"/>
    </w:rPr>
  </w:style>
  <w:style w:type="paragraph" w:customStyle="1" w:styleId="tah11">
    <w:name w:val="tah11"/>
    <w:basedOn w:val="a"/>
    <w:rsid w:val="003319A3"/>
    <w:pPr>
      <w:spacing w:before="100" w:beforeAutospacing="1" w:after="100" w:afterAutospacing="1" w:line="240" w:lineRule="auto"/>
    </w:pPr>
    <w:rPr>
      <w:rFonts w:ascii="Tahoma" w:eastAsia="Times New Roman" w:hAnsi="Tahoma" w:cs="Tahoma"/>
      <w:color w:val="545454"/>
      <w:sz w:val="16"/>
      <w:szCs w:val="16"/>
      <w:lang w:eastAsia="uk-UA"/>
    </w:rPr>
  </w:style>
  <w:style w:type="paragraph" w:customStyle="1" w:styleId="tah11blue">
    <w:name w:val="tah11blue"/>
    <w:basedOn w:val="a"/>
    <w:rsid w:val="003319A3"/>
    <w:pPr>
      <w:spacing w:before="100" w:beforeAutospacing="1" w:after="100" w:afterAutospacing="1" w:line="240" w:lineRule="auto"/>
    </w:pPr>
    <w:rPr>
      <w:rFonts w:ascii="Tahoma" w:eastAsia="Times New Roman" w:hAnsi="Tahoma" w:cs="Tahoma"/>
      <w:color w:val="006F92"/>
      <w:sz w:val="16"/>
      <w:szCs w:val="16"/>
      <w:lang w:eastAsia="uk-UA"/>
    </w:rPr>
  </w:style>
  <w:style w:type="paragraph" w:customStyle="1" w:styleId="style8">
    <w:name w:val="style8"/>
    <w:basedOn w:val="a"/>
    <w:rsid w:val="003319A3"/>
    <w:pPr>
      <w:spacing w:before="100" w:beforeAutospacing="1" w:after="100" w:afterAutospacing="1" w:line="240" w:lineRule="auto"/>
    </w:pPr>
    <w:rPr>
      <w:rFonts w:ascii="Times New Roman" w:eastAsia="Times New Roman" w:hAnsi="Times New Roman" w:cs="Times New Roman"/>
      <w:color w:val="006F92"/>
      <w:sz w:val="15"/>
      <w:szCs w:val="15"/>
      <w:lang w:eastAsia="uk-UA"/>
    </w:rPr>
  </w:style>
  <w:style w:type="paragraph" w:customStyle="1" w:styleId="style12">
    <w:name w:val="style12"/>
    <w:basedOn w:val="a"/>
    <w:rsid w:val="003319A3"/>
    <w:pPr>
      <w:spacing w:before="100" w:beforeAutospacing="1" w:after="100" w:afterAutospacing="1" w:line="240" w:lineRule="auto"/>
    </w:pPr>
    <w:rPr>
      <w:rFonts w:ascii="Arial" w:eastAsia="Times New Roman" w:hAnsi="Arial" w:cs="Arial"/>
      <w:color w:val="006F92"/>
      <w:sz w:val="15"/>
      <w:szCs w:val="15"/>
      <w:lang w:eastAsia="uk-UA"/>
    </w:rPr>
  </w:style>
  <w:style w:type="paragraph" w:customStyle="1" w:styleId="style13">
    <w:name w:val="style13"/>
    <w:basedOn w:val="a"/>
    <w:rsid w:val="003319A3"/>
    <w:pPr>
      <w:spacing w:before="100" w:beforeAutospacing="1" w:after="100" w:afterAutospacing="1" w:line="240" w:lineRule="auto"/>
    </w:pPr>
    <w:rPr>
      <w:rFonts w:ascii="Times New Roman" w:eastAsia="Times New Roman" w:hAnsi="Times New Roman" w:cs="Times New Roman"/>
      <w:b/>
      <w:bCs/>
      <w:color w:val="006F92"/>
      <w:sz w:val="13"/>
      <w:szCs w:val="13"/>
      <w:lang w:eastAsia="uk-UA"/>
    </w:rPr>
  </w:style>
  <w:style w:type="paragraph" w:customStyle="1" w:styleId="style14">
    <w:name w:val="style14"/>
    <w:basedOn w:val="a"/>
    <w:rsid w:val="003319A3"/>
    <w:pPr>
      <w:spacing w:before="100" w:beforeAutospacing="1" w:after="100" w:afterAutospacing="1" w:line="240" w:lineRule="auto"/>
    </w:pPr>
    <w:rPr>
      <w:rFonts w:ascii="Times New Roman" w:eastAsia="Times New Roman" w:hAnsi="Times New Roman" w:cs="Times New Roman"/>
      <w:b/>
      <w:bCs/>
      <w:color w:val="FFFFFF"/>
      <w:sz w:val="13"/>
      <w:szCs w:val="13"/>
      <w:lang w:eastAsia="uk-UA"/>
    </w:rPr>
  </w:style>
  <w:style w:type="paragraph" w:customStyle="1" w:styleId="style15">
    <w:name w:val="style15"/>
    <w:basedOn w:val="a"/>
    <w:rsid w:val="003319A3"/>
    <w:pPr>
      <w:spacing w:before="100" w:beforeAutospacing="1" w:after="100" w:afterAutospacing="1" w:line="240" w:lineRule="auto"/>
    </w:pPr>
    <w:rPr>
      <w:rFonts w:ascii="Times New Roman" w:eastAsia="Times New Roman" w:hAnsi="Times New Roman" w:cs="Times New Roman"/>
      <w:color w:val="FFFFFF"/>
      <w:sz w:val="15"/>
      <w:szCs w:val="15"/>
      <w:lang w:eastAsia="uk-UA"/>
    </w:rPr>
  </w:style>
  <w:style w:type="paragraph" w:customStyle="1" w:styleId="style22">
    <w:name w:val="style22"/>
    <w:basedOn w:val="a"/>
    <w:rsid w:val="003319A3"/>
    <w:pPr>
      <w:spacing w:before="100" w:beforeAutospacing="1" w:after="100" w:afterAutospacing="1" w:line="240" w:lineRule="auto"/>
    </w:pPr>
    <w:rPr>
      <w:rFonts w:ascii="Arial" w:eastAsia="Times New Roman" w:hAnsi="Arial" w:cs="Arial"/>
      <w:color w:val="666666"/>
      <w:sz w:val="15"/>
      <w:szCs w:val="15"/>
      <w:lang w:eastAsia="uk-UA"/>
    </w:rPr>
  </w:style>
  <w:style w:type="paragraph" w:styleId="a3">
    <w:name w:val="Normal (Web)"/>
    <w:basedOn w:val="a"/>
    <w:uiPriority w:val="99"/>
    <w:unhideWhenUsed/>
    <w:rsid w:val="003319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319A3"/>
    <w:rPr>
      <w:b/>
      <w:bCs/>
    </w:rPr>
  </w:style>
  <w:style w:type="character" w:customStyle="1" w:styleId="style191">
    <w:name w:val="style191"/>
    <w:basedOn w:val="a0"/>
    <w:rsid w:val="003319A3"/>
    <w:rPr>
      <w:rFonts w:ascii="Arial" w:hAnsi="Arial" w:cs="Arial" w:hint="default"/>
      <w:sz w:val="15"/>
      <w:szCs w:val="15"/>
    </w:rPr>
  </w:style>
  <w:style w:type="character" w:customStyle="1" w:styleId="style81">
    <w:name w:val="style81"/>
    <w:basedOn w:val="a0"/>
    <w:rsid w:val="003319A3"/>
    <w:rPr>
      <w:color w:val="006F92"/>
      <w:sz w:val="15"/>
      <w:szCs w:val="15"/>
    </w:rPr>
  </w:style>
  <w:style w:type="character" w:customStyle="1" w:styleId="tah11blue1">
    <w:name w:val="tah11blue1"/>
    <w:basedOn w:val="a0"/>
    <w:rsid w:val="003319A3"/>
    <w:rPr>
      <w:rFonts w:ascii="Tahoma" w:hAnsi="Tahoma" w:cs="Tahoma" w:hint="default"/>
      <w:color w:val="006F92"/>
      <w:sz w:val="16"/>
      <w:szCs w:val="16"/>
    </w:rPr>
  </w:style>
  <w:style w:type="character" w:customStyle="1" w:styleId="style161">
    <w:name w:val="style161"/>
    <w:basedOn w:val="a0"/>
    <w:rsid w:val="003319A3"/>
    <w:rPr>
      <w:color w:val="006F92"/>
    </w:rPr>
  </w:style>
  <w:style w:type="paragraph" w:styleId="a5">
    <w:name w:val="Balloon Text"/>
    <w:basedOn w:val="a"/>
    <w:link w:val="a6"/>
    <w:uiPriority w:val="99"/>
    <w:semiHidden/>
    <w:unhideWhenUsed/>
    <w:rsid w:val="003319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1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8687</Words>
  <Characters>4953</Characters>
  <Application>Microsoft Office Word</Application>
  <DocSecurity>0</DocSecurity>
  <Lines>41</Lines>
  <Paragraphs>27</Paragraphs>
  <ScaleCrop>false</ScaleCrop>
  <Company/>
  <LinksUpToDate>false</LinksUpToDate>
  <CharactersWithSpaces>13613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2008-12-13T18:43:00Z</dcterms:created>
  <dcterms:modified xsi:type="dcterms:W3CDTF">2008-12-13T18:43:00Z</dcterms:modified>
</cp:coreProperties>
</file>