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832">
        <w:rPr>
          <w:b/>
          <w:sz w:val="28"/>
          <w:szCs w:val="28"/>
          <w:lang w:val="uk-UA"/>
        </w:rPr>
        <w:t>Відповіді на 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E600F8">
        <w:rPr>
          <w:b/>
          <w:sz w:val="28"/>
          <w:lang w:val="uk-UA"/>
        </w:rPr>
        <w:t>Біологія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E600F8" w:rsidP="003519F1">
      <w:pPr>
        <w:jc w:val="center"/>
        <w:rPr>
          <w:b/>
          <w:sz w:val="28"/>
          <w:lang w:val="uk-UA"/>
        </w:rPr>
      </w:pPr>
      <w:r>
        <w:rPr>
          <w:b/>
          <w:noProof/>
          <w:sz w:val="28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43180</wp:posOffset>
            </wp:positionV>
            <wp:extent cx="2818765" cy="1609090"/>
            <wp:effectExtent l="19050" t="0" r="635" b="0"/>
            <wp:wrapSquare wrapText="bothSides"/>
            <wp:docPr id="1" name="Рисунок 0" descr="bi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4C7" w:rsidRPr="007164C7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E600F8">
        <w:rPr>
          <w:rFonts w:ascii="Times New Roman" w:hAnsi="Times New Roman"/>
          <w:b/>
          <w:sz w:val="28"/>
          <w:szCs w:val="28"/>
        </w:rPr>
        <w:t>Тканина</w:t>
      </w:r>
      <w:r w:rsidR="007164C7" w:rsidRPr="007164C7">
        <w:rPr>
          <w:rFonts w:ascii="Times New Roman" w:hAnsi="Times New Roman"/>
          <w:b/>
          <w:sz w:val="28"/>
          <w:szCs w:val="28"/>
        </w:rPr>
        <w:t>"</w:t>
      </w:r>
    </w:p>
    <w:p w:rsidR="000F6938" w:rsidRDefault="00E600F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600F8">
        <w:rPr>
          <w:rFonts w:ascii="Times New Roman" w:hAnsi="Times New Roman"/>
          <w:sz w:val="28"/>
          <w:szCs w:val="28"/>
        </w:rPr>
        <w:t xml:space="preserve">Розкрийте взаємозв’язок будови та функції клітин тканини, зображеної на відео. Визначте тип тканини.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2328B2" w:rsidRPr="002328B2" w:rsidRDefault="002328B2" w:rsidP="002328B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28B2">
        <w:rPr>
          <w:rFonts w:ascii="Times New Roman" w:hAnsi="Times New Roman"/>
          <w:b/>
          <w:sz w:val="28"/>
          <w:szCs w:val="28"/>
        </w:rPr>
        <w:t>Відповідь:</w:t>
      </w:r>
      <w:r w:rsidRPr="002328B2">
        <w:rPr>
          <w:rFonts w:ascii="Times New Roman" w:hAnsi="Times New Roman"/>
          <w:sz w:val="28"/>
          <w:szCs w:val="28"/>
        </w:rPr>
        <w:t xml:space="preserve"> Покривна тканина захищає рослину від несприятливих впливів. </w:t>
      </w:r>
    </w:p>
    <w:p w:rsidR="002328B2" w:rsidRPr="002328B2" w:rsidRDefault="002328B2" w:rsidP="002328B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28B2">
        <w:rPr>
          <w:rFonts w:ascii="Times New Roman" w:hAnsi="Times New Roman"/>
          <w:sz w:val="28"/>
          <w:szCs w:val="28"/>
        </w:rPr>
        <w:t>Залежно від походження виділяють три типи покривних тканин: епідерму, корок та кірку. Молоді органи вкриті епідермою, яка складається з 1-2 шарів, видовжених клітин, з’єднаних між собою. Міжклітинна речовина відсутня. На відео зображена покривна тканина – епідерма, яка складається з двох  видів клітин. Прозорі, видовжені клітини виконують захисну функцію, пропускають видиме світло. Захисні властивості епідерми посилюються виростами, волос</w:t>
      </w:r>
      <w:bookmarkStart w:id="0" w:name="_GoBack"/>
      <w:bookmarkEnd w:id="0"/>
      <w:r w:rsidRPr="002328B2">
        <w:rPr>
          <w:rFonts w:ascii="Times New Roman" w:hAnsi="Times New Roman"/>
          <w:sz w:val="28"/>
          <w:szCs w:val="28"/>
        </w:rPr>
        <w:t>ками.</w:t>
      </w:r>
    </w:p>
    <w:p w:rsidR="003565A8" w:rsidRDefault="002328B2" w:rsidP="002328B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28B2">
        <w:rPr>
          <w:rFonts w:ascii="Times New Roman" w:hAnsi="Times New Roman"/>
          <w:sz w:val="28"/>
          <w:szCs w:val="28"/>
        </w:rPr>
        <w:t>В епідермі є особливі утворення для газообміну та транспірації – продихи, які складаються з двох замикаючих клітин із хлоропластами і продихової щілини. Протягом доби, залежно від умов довкілля, осмотичний тиск в цих клітинах змінюється і вони відкриваються, або закриваються.</w:t>
      </w:r>
    </w:p>
    <w:p w:rsidR="003565A8" w:rsidRPr="007164C7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F6938" w:rsidRDefault="00E600F8" w:rsidP="000F693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368300</wp:posOffset>
            </wp:positionH>
            <wp:positionV relativeFrom="paragraph">
              <wp:posOffset>130810</wp:posOffset>
            </wp:positionV>
            <wp:extent cx="2717800" cy="1521460"/>
            <wp:effectExtent l="19050" t="0" r="6350" b="0"/>
            <wp:wrapSquare wrapText="bothSides"/>
            <wp:docPr id="2" name="Рисунок 1" descr="bi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7F8" w:rsidRPr="00FD27F8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"Грибна геометрія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3565A8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837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00F8" w:rsidRPr="00E600F8">
        <w:rPr>
          <w:rFonts w:ascii="Times New Roman" w:hAnsi="Times New Roman"/>
          <w:color w:val="000000"/>
          <w:sz w:val="28"/>
          <w:szCs w:val="28"/>
        </w:rPr>
        <w:t xml:space="preserve">Досвідчені грибники вважають, що росту шапкових грибів притаманний певний математичний порядок. Яка ваша думка? </w:t>
      </w:r>
      <w:r w:rsidR="002328B2">
        <w:rPr>
          <w:rFonts w:ascii="Times New Roman" w:hAnsi="Times New Roman"/>
          <w:color w:val="000000"/>
          <w:sz w:val="28"/>
          <w:szCs w:val="28"/>
        </w:rPr>
        <w:t>Відповідь</w:t>
      </w:r>
      <w:r w:rsidR="00E600F8" w:rsidRPr="00E600F8">
        <w:rPr>
          <w:rFonts w:ascii="Times New Roman" w:hAnsi="Times New Roman"/>
          <w:color w:val="000000"/>
          <w:sz w:val="28"/>
          <w:szCs w:val="28"/>
        </w:rPr>
        <w:t xml:space="preserve"> обґрунтувати.</w:t>
      </w:r>
      <w:r w:rsidR="009446AD" w:rsidRPr="009446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2328B2" w:rsidRPr="002328B2" w:rsidRDefault="002328B2" w:rsidP="002328B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2328B2">
        <w:rPr>
          <w:rFonts w:ascii="Times New Roman" w:hAnsi="Times New Roman"/>
          <w:color w:val="000000"/>
          <w:sz w:val="28"/>
          <w:szCs w:val="28"/>
        </w:rPr>
        <w:t>Відповідь: Ботанічна наука збер</w:t>
      </w:r>
      <w:r w:rsidR="00376965">
        <w:rPr>
          <w:rFonts w:ascii="Times New Roman" w:hAnsi="Times New Roman"/>
          <w:color w:val="000000"/>
          <w:sz w:val="28"/>
          <w:szCs w:val="28"/>
        </w:rPr>
        <w:t>е</w:t>
      </w:r>
      <w:r w:rsidRPr="002328B2">
        <w:rPr>
          <w:rFonts w:ascii="Times New Roman" w:hAnsi="Times New Roman"/>
          <w:color w:val="000000"/>
          <w:sz w:val="28"/>
          <w:szCs w:val="28"/>
        </w:rPr>
        <w:t xml:space="preserve">гла термін </w:t>
      </w:r>
      <w:proofErr w:type="spellStart"/>
      <w:r w:rsidRPr="002328B2">
        <w:rPr>
          <w:rFonts w:ascii="Times New Roman" w:hAnsi="Times New Roman"/>
          <w:color w:val="000000"/>
          <w:sz w:val="28"/>
          <w:szCs w:val="28"/>
        </w:rPr>
        <w:t>“</w:t>
      </w:r>
      <w:r w:rsidR="00376965">
        <w:rPr>
          <w:rFonts w:ascii="Times New Roman" w:hAnsi="Times New Roman"/>
          <w:color w:val="000000"/>
          <w:sz w:val="28"/>
          <w:szCs w:val="28"/>
        </w:rPr>
        <w:t>відь</w:t>
      </w:r>
      <w:r w:rsidRPr="002328B2">
        <w:rPr>
          <w:rFonts w:ascii="Times New Roman" w:hAnsi="Times New Roman"/>
          <w:color w:val="000000"/>
          <w:sz w:val="28"/>
          <w:szCs w:val="28"/>
        </w:rPr>
        <w:t>м’яче</w:t>
      </w:r>
      <w:proofErr w:type="spellEnd"/>
      <w:r w:rsidRPr="002328B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328B2">
        <w:rPr>
          <w:rFonts w:ascii="Times New Roman" w:hAnsi="Times New Roman"/>
          <w:color w:val="000000"/>
          <w:sz w:val="28"/>
          <w:szCs w:val="28"/>
        </w:rPr>
        <w:t>коло”</w:t>
      </w:r>
      <w:proofErr w:type="spellEnd"/>
      <w:r w:rsidRPr="002328B2">
        <w:rPr>
          <w:rFonts w:ascii="Times New Roman" w:hAnsi="Times New Roman"/>
          <w:color w:val="000000"/>
          <w:sz w:val="28"/>
          <w:szCs w:val="28"/>
        </w:rPr>
        <w:t>. Явище росту грибів по ко</w:t>
      </w:r>
      <w:r w:rsidR="00376965">
        <w:rPr>
          <w:rFonts w:ascii="Times New Roman" w:hAnsi="Times New Roman"/>
          <w:color w:val="000000"/>
          <w:sz w:val="28"/>
          <w:szCs w:val="28"/>
        </w:rPr>
        <w:t xml:space="preserve">лу пояснюється так: грибниця у ґрунті </w:t>
      </w:r>
      <w:r w:rsidRPr="002328B2">
        <w:rPr>
          <w:rFonts w:ascii="Times New Roman" w:hAnsi="Times New Roman"/>
          <w:color w:val="000000"/>
          <w:sz w:val="28"/>
          <w:szCs w:val="28"/>
        </w:rPr>
        <w:t xml:space="preserve"> розростається по колу, відмираючи зсередини. Ззовні молодої грибниці виростають плодові тіла – </w:t>
      </w:r>
      <w:proofErr w:type="spellStart"/>
      <w:r w:rsidRPr="002328B2">
        <w:rPr>
          <w:rFonts w:ascii="Times New Roman" w:hAnsi="Times New Roman"/>
          <w:color w:val="000000"/>
          <w:sz w:val="28"/>
          <w:szCs w:val="28"/>
        </w:rPr>
        <w:t>“гриби”</w:t>
      </w:r>
      <w:proofErr w:type="spellEnd"/>
      <w:r w:rsidRPr="002328B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328B2">
        <w:rPr>
          <w:rFonts w:ascii="Times New Roman" w:hAnsi="Times New Roman"/>
          <w:color w:val="000000"/>
          <w:sz w:val="28"/>
          <w:szCs w:val="28"/>
        </w:rPr>
        <w:lastRenderedPageBreak/>
        <w:t>Грибниця споживає велику кількість поживних речовин, як органічних так і неорганічних, особливо в час утворення плодових тіл. Гриби – гетеротрофні організми, тому поживних речовин для інших рослин не вистачає. В середині грибних кіл не росте трава. Інколи грибні кола розростаються зо 200 метрів. Протягом року грибниця розростає</w:t>
      </w:r>
      <w:r>
        <w:rPr>
          <w:rFonts w:ascii="Times New Roman" w:hAnsi="Times New Roman"/>
          <w:color w:val="000000"/>
          <w:sz w:val="28"/>
          <w:szCs w:val="28"/>
        </w:rPr>
        <w:t>ться</w:t>
      </w:r>
      <w:r w:rsidRPr="002328B2">
        <w:rPr>
          <w:rFonts w:ascii="Times New Roman" w:hAnsi="Times New Roman"/>
          <w:color w:val="000000"/>
          <w:sz w:val="28"/>
          <w:szCs w:val="28"/>
        </w:rPr>
        <w:t xml:space="preserve"> до 10 – 12 см. 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328B2">
        <w:rPr>
          <w:rFonts w:ascii="Times New Roman" w:hAnsi="Times New Roman"/>
          <w:color w:val="000000"/>
          <w:sz w:val="28"/>
          <w:szCs w:val="28"/>
        </w:rPr>
        <w:t>ким чином , грибне коло діаметром 70м досягає 500, а інколи більше років.</w:t>
      </w:r>
    </w:p>
    <w:p w:rsidR="002328B2" w:rsidRPr="002328B2" w:rsidRDefault="002328B2" w:rsidP="002328B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2328B2">
        <w:rPr>
          <w:rFonts w:ascii="Times New Roman" w:hAnsi="Times New Roman"/>
          <w:color w:val="000000"/>
          <w:sz w:val="28"/>
          <w:szCs w:val="28"/>
        </w:rPr>
        <w:t>Шапкові гриби розмножуються вегетативно та спорами. Вегетативне розмноження відбувається фрагментацією міцелію. Внаслідок статевого процесу на нижньому боці шапки утворюються спори. Вони розносяться вітром і, якщо потрапляють у сприятливі умови (тепло, волога), проростають у новий міцелій. З часом такий міцелій утворює нові плодові тіла.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E600F8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3408045</wp:posOffset>
            </wp:positionH>
            <wp:positionV relativeFrom="paragraph">
              <wp:posOffset>136525</wp:posOffset>
            </wp:positionV>
            <wp:extent cx="2423795" cy="1470025"/>
            <wp:effectExtent l="19050" t="0" r="0" b="0"/>
            <wp:wrapSquare wrapText="bothSides"/>
            <wp:docPr id="3" name="Рисунок 2" descr="bio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 w:rsidR="00E600F8" w:rsidRPr="00E600F8">
        <w:rPr>
          <w:rFonts w:ascii="Times New Roman" w:hAnsi="Times New Roman"/>
          <w:b/>
          <w:color w:val="000000"/>
          <w:sz w:val="28"/>
          <w:szCs w:val="28"/>
        </w:rPr>
        <w:t>Мешканець мікросвіту</w:t>
      </w: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E600F8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E600F8">
        <w:rPr>
          <w:rFonts w:ascii="Times New Roman" w:hAnsi="Times New Roman"/>
          <w:color w:val="000000"/>
          <w:sz w:val="28"/>
          <w:szCs w:val="28"/>
        </w:rPr>
        <w:t xml:space="preserve">Що ви бачите на відео? Ідентифікуйте цей організм  та розкрийте його процеси життєдіяльності. </w:t>
      </w:r>
      <w:r w:rsidR="000F6938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B77690" w:rsidRPr="00B77690" w:rsidRDefault="00B77690" w:rsidP="00B77690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B77690">
        <w:rPr>
          <w:rFonts w:ascii="Times New Roman" w:hAnsi="Times New Roman"/>
          <w:color w:val="000000"/>
          <w:sz w:val="28"/>
          <w:szCs w:val="28"/>
        </w:rPr>
        <w:t xml:space="preserve">Відповідь: На відео – одноклітинна тварина </w:t>
      </w:r>
      <w:proofErr w:type="spellStart"/>
      <w:r w:rsidRPr="00B77690">
        <w:rPr>
          <w:rFonts w:ascii="Times New Roman" w:hAnsi="Times New Roman"/>
          <w:color w:val="000000"/>
          <w:sz w:val="28"/>
          <w:szCs w:val="28"/>
        </w:rPr>
        <w:t>підцарства</w:t>
      </w:r>
      <w:proofErr w:type="spellEnd"/>
      <w:r w:rsidRPr="00B77690">
        <w:rPr>
          <w:rFonts w:ascii="Times New Roman" w:hAnsi="Times New Roman"/>
          <w:color w:val="000000"/>
          <w:sz w:val="28"/>
          <w:szCs w:val="28"/>
        </w:rPr>
        <w:t xml:space="preserve"> Найпростіші, типу Інфузорії, вид – Інфузорія Туфелька. Тіло тварини вкрите війками, завдяки узгодженому руху яких інфузорія рухається тупим кінцем вперед. Інфузорії безбарвні, вони не мають пластид. У центрі клітини міститься два ядра: велике та маленьке. У клітині декілька травних вакуоль, дві скоротливі вакуолі. Є заглибина – клітинний рот, який переходить у клітинну глотку. Є також органела для видалення не перетравних решток – порошиця. Інфузорії – типові </w:t>
      </w:r>
      <w:proofErr w:type="spellStart"/>
      <w:r w:rsidRPr="00B77690">
        <w:rPr>
          <w:rFonts w:ascii="Times New Roman" w:hAnsi="Times New Roman"/>
          <w:color w:val="000000"/>
          <w:sz w:val="28"/>
          <w:szCs w:val="28"/>
        </w:rPr>
        <w:t>гетеротрофи</w:t>
      </w:r>
      <w:proofErr w:type="spellEnd"/>
      <w:r w:rsidRPr="00B77690">
        <w:rPr>
          <w:rFonts w:ascii="Times New Roman" w:hAnsi="Times New Roman"/>
          <w:color w:val="000000"/>
          <w:sz w:val="28"/>
          <w:szCs w:val="28"/>
        </w:rPr>
        <w:t>. Травна вакуоля рухається в цитоплазмі. Їжа перетравлюється, поживні речовини всмоктуються, а не перетравлені рештки виводяться через порошицю. Виділення відбувається через скоротливі вакуолі.</w:t>
      </w:r>
    </w:p>
    <w:p w:rsidR="00F73D56" w:rsidRDefault="00B77690" w:rsidP="00B77690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B77690">
        <w:rPr>
          <w:rFonts w:ascii="Times New Roman" w:hAnsi="Times New Roman"/>
          <w:color w:val="000000"/>
          <w:sz w:val="28"/>
          <w:szCs w:val="28"/>
        </w:rPr>
        <w:t xml:space="preserve">Розмноження. Розмножуються нестатевим шляхом – поділом навпіл. Спочатку </w:t>
      </w:r>
      <w:r w:rsidR="0030394A" w:rsidRPr="00B77690">
        <w:rPr>
          <w:rFonts w:ascii="Times New Roman" w:hAnsi="Times New Roman"/>
          <w:color w:val="000000"/>
          <w:sz w:val="28"/>
          <w:szCs w:val="28"/>
        </w:rPr>
        <w:t>діляться</w:t>
      </w:r>
      <w:r w:rsidRPr="00B77690">
        <w:rPr>
          <w:rFonts w:ascii="Times New Roman" w:hAnsi="Times New Roman"/>
          <w:color w:val="000000"/>
          <w:sz w:val="28"/>
          <w:szCs w:val="28"/>
        </w:rPr>
        <w:t xml:space="preserve"> ядра, велике - </w:t>
      </w:r>
      <w:r w:rsidR="0030394A" w:rsidRPr="00B77690">
        <w:rPr>
          <w:rFonts w:ascii="Times New Roman" w:hAnsi="Times New Roman"/>
          <w:color w:val="000000"/>
          <w:sz w:val="28"/>
          <w:szCs w:val="28"/>
        </w:rPr>
        <w:t>амітозом</w:t>
      </w:r>
      <w:r w:rsidRPr="00B77690">
        <w:rPr>
          <w:rFonts w:ascii="Times New Roman" w:hAnsi="Times New Roman"/>
          <w:color w:val="000000"/>
          <w:sz w:val="28"/>
          <w:szCs w:val="28"/>
        </w:rPr>
        <w:t>, мале  -</w:t>
      </w:r>
      <w:r w:rsidR="003039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394A" w:rsidRPr="00B77690">
        <w:rPr>
          <w:rFonts w:ascii="Times New Roman" w:hAnsi="Times New Roman"/>
          <w:color w:val="000000"/>
          <w:sz w:val="28"/>
          <w:szCs w:val="28"/>
        </w:rPr>
        <w:t>мітозом</w:t>
      </w:r>
      <w:r w:rsidRPr="00B77690">
        <w:rPr>
          <w:rFonts w:ascii="Times New Roman" w:hAnsi="Times New Roman"/>
          <w:color w:val="000000"/>
          <w:sz w:val="28"/>
          <w:szCs w:val="28"/>
        </w:rPr>
        <w:t>,</w:t>
      </w:r>
      <w:r w:rsidR="003039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7690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30394A" w:rsidRPr="00B77690">
        <w:rPr>
          <w:rFonts w:ascii="Times New Roman" w:hAnsi="Times New Roman"/>
          <w:color w:val="000000"/>
          <w:sz w:val="28"/>
          <w:szCs w:val="28"/>
        </w:rPr>
        <w:t>потім</w:t>
      </w:r>
      <w:r w:rsidRPr="00B77690">
        <w:rPr>
          <w:rFonts w:ascii="Times New Roman" w:hAnsi="Times New Roman"/>
          <w:color w:val="000000"/>
          <w:sz w:val="28"/>
          <w:szCs w:val="28"/>
        </w:rPr>
        <w:t xml:space="preserve"> – цитоплазма. Підчас несприятливих умов характерний статевий процес , утворюється циста.</w:t>
      </w:r>
    </w:p>
    <w:p w:rsidR="00E600F8" w:rsidRDefault="00E600F8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938" w:rsidRPr="00DA2406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C83715" w:rsidRDefault="0030394A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284480</wp:posOffset>
            </wp:positionH>
            <wp:positionV relativeFrom="paragraph">
              <wp:posOffset>-318135</wp:posOffset>
            </wp:positionV>
            <wp:extent cx="1902460" cy="1858010"/>
            <wp:effectExtent l="19050" t="0" r="2540" b="0"/>
            <wp:wrapSquare wrapText="bothSides"/>
            <wp:docPr id="4" name="Рисунок 3" descr="bi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246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sz w:val="28"/>
          <w:szCs w:val="28"/>
        </w:rPr>
        <w:t>"</w:t>
      </w:r>
      <w:r w:rsidR="00E600F8" w:rsidRPr="00E600F8">
        <w:rPr>
          <w:rFonts w:ascii="Times New Roman" w:hAnsi="Times New Roman"/>
          <w:b/>
          <w:sz w:val="28"/>
          <w:szCs w:val="28"/>
        </w:rPr>
        <w:t>Рентгеноскопія</w:t>
      </w:r>
      <w:r w:rsidR="00C83715"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Default="00E600F8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600F8">
        <w:rPr>
          <w:rFonts w:ascii="Times New Roman" w:hAnsi="Times New Roman"/>
          <w:sz w:val="28"/>
          <w:szCs w:val="28"/>
        </w:rPr>
        <w:t>Ідентифікуйте тварину відповідно рентг</w:t>
      </w:r>
      <w:r>
        <w:rPr>
          <w:rFonts w:ascii="Times New Roman" w:hAnsi="Times New Roman"/>
          <w:sz w:val="28"/>
          <w:szCs w:val="28"/>
        </w:rPr>
        <w:t>е</w:t>
      </w:r>
      <w:r w:rsidRPr="00E600F8">
        <w:rPr>
          <w:rFonts w:ascii="Times New Roman" w:hAnsi="Times New Roman"/>
          <w:sz w:val="28"/>
          <w:szCs w:val="28"/>
        </w:rPr>
        <w:t>нівського знімку.</w:t>
      </w:r>
      <w:r w:rsidR="009446AD" w:rsidRPr="009446AD">
        <w:rPr>
          <w:rFonts w:ascii="Times New Roman" w:hAnsi="Times New Roman"/>
          <w:sz w:val="28"/>
          <w:szCs w:val="28"/>
        </w:rPr>
        <w:t xml:space="preserve">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3519F1" w:rsidRPr="0030394A" w:rsidRDefault="0030394A" w:rsidP="0030394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0394A">
        <w:rPr>
          <w:rFonts w:ascii="Times New Roman" w:hAnsi="Times New Roman"/>
          <w:b/>
          <w:sz w:val="28"/>
          <w:szCs w:val="28"/>
        </w:rPr>
        <w:t xml:space="preserve">Відповідь: </w:t>
      </w:r>
      <w:r w:rsidRPr="0030394A">
        <w:rPr>
          <w:rFonts w:ascii="Times New Roman" w:hAnsi="Times New Roman"/>
          <w:sz w:val="28"/>
          <w:szCs w:val="28"/>
        </w:rPr>
        <w:t xml:space="preserve">На рентгенівській світлині представник царства Тварини, </w:t>
      </w:r>
      <w:proofErr w:type="spellStart"/>
      <w:r w:rsidRPr="0030394A">
        <w:rPr>
          <w:rFonts w:ascii="Times New Roman" w:hAnsi="Times New Roman"/>
          <w:sz w:val="28"/>
          <w:szCs w:val="28"/>
        </w:rPr>
        <w:t>підцарства</w:t>
      </w:r>
      <w:proofErr w:type="spellEnd"/>
      <w:r w:rsidRPr="0030394A">
        <w:rPr>
          <w:rFonts w:ascii="Times New Roman" w:hAnsi="Times New Roman"/>
          <w:sz w:val="28"/>
          <w:szCs w:val="28"/>
        </w:rPr>
        <w:t xml:space="preserve"> Багатоклітинні, тип Хордові, клас Плазуни. Клас Плазунів об’єднує групу наземних та водних тварин. Сучасні плазуни утворюють ряди </w:t>
      </w:r>
      <w:proofErr w:type="spellStart"/>
      <w:r w:rsidRPr="0030394A">
        <w:rPr>
          <w:rFonts w:ascii="Times New Roman" w:hAnsi="Times New Roman"/>
          <w:sz w:val="28"/>
          <w:szCs w:val="28"/>
        </w:rPr>
        <w:t>Дзьобоголові</w:t>
      </w:r>
      <w:proofErr w:type="spellEnd"/>
      <w:r w:rsidRPr="0030394A">
        <w:rPr>
          <w:rFonts w:ascii="Times New Roman" w:hAnsi="Times New Roman"/>
          <w:sz w:val="28"/>
          <w:szCs w:val="28"/>
        </w:rPr>
        <w:t>, Лускаті, Крокодили та Черепахи. Будова черепах настільки своєрідна, що їх не з ким не можна сплутати. Замкнене в панцир тіло, беззубі ріжучі рогові щелепи – такі характерні ознаки черепах. Панцир має верхню та нижню половину. Верхня складається з кісткових пластинок, з якими зливаються ребра і більша частина хребта.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94A">
        <w:rPr>
          <w:rFonts w:ascii="Times New Roman" w:hAnsi="Times New Roman"/>
          <w:sz w:val="28"/>
          <w:szCs w:val="28"/>
        </w:rPr>
        <w:t>Скелет відповідає виду - Коробчаста черепаха.  Коробчаста черепаха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94A">
        <w:rPr>
          <w:rFonts w:ascii="Times New Roman" w:hAnsi="Times New Roman"/>
          <w:sz w:val="28"/>
          <w:szCs w:val="28"/>
        </w:rPr>
        <w:t xml:space="preserve">знайдена у Північній Америці, ця наземна черепаха надає перевагу полям і лісам. Вони впадають у сплячку впродовж холодної погоди, так як вони холоднокровні. Вони зариваються глибоко у </w:t>
      </w:r>
      <w:proofErr w:type="spellStart"/>
      <w:r>
        <w:rPr>
          <w:rFonts w:ascii="Times New Roman" w:hAnsi="Times New Roman"/>
          <w:sz w:val="28"/>
          <w:szCs w:val="28"/>
        </w:rPr>
        <w:t>грунт</w:t>
      </w:r>
      <w:proofErr w:type="spellEnd"/>
      <w:r w:rsidRPr="0030394A">
        <w:rPr>
          <w:rFonts w:ascii="Times New Roman" w:hAnsi="Times New Roman"/>
          <w:sz w:val="28"/>
          <w:szCs w:val="28"/>
        </w:rPr>
        <w:t xml:space="preserve"> і листя до квітня чи раннього травня. Вони мають міцний високий панцир, який є </w:t>
      </w:r>
      <w:proofErr w:type="spellStart"/>
      <w:r w:rsidRPr="0030394A">
        <w:rPr>
          <w:rFonts w:ascii="Times New Roman" w:hAnsi="Times New Roman"/>
          <w:sz w:val="28"/>
          <w:szCs w:val="28"/>
        </w:rPr>
        <w:t>коричнево</w:t>
      </w:r>
      <w:proofErr w:type="spellEnd"/>
      <w:r w:rsidRPr="0030394A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94A">
        <w:rPr>
          <w:rFonts w:ascii="Times New Roman" w:hAnsi="Times New Roman"/>
          <w:sz w:val="28"/>
          <w:szCs w:val="28"/>
        </w:rPr>
        <w:t>червоним, або чорним з зеленими, оранжевими, червоними чи жовтими позначками. Вони можуть втягувати свою голову, лапи та хвіст у панцир для самозахисту. Середня довжина більшості дорослих  коробчастих черепах від 13 до 15,5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94A">
        <w:rPr>
          <w:rFonts w:ascii="Times New Roman" w:hAnsi="Times New Roman"/>
          <w:sz w:val="28"/>
          <w:szCs w:val="28"/>
        </w:rPr>
        <w:t>см. Вони їдять і рослин, і тварин і мають міцні щелепи та гострий дзьоб, але у них немає зубів. Яйце запліднюється у тілі самки. Вона викопує яму у теплому ґрунті своїми задніми лапами, відкладає яйця і засипає їх землею і піском. Потім вона залишає 3 чи 6 яєць, щоб вони самостійно вилуплювались. Тривалість життя коробчастих  черепах 30 чи 40 років, а деякі з них досягають віку 100 років.</w:t>
      </w:r>
    </w:p>
    <w:sectPr w:rsidR="003519F1" w:rsidRPr="0030394A" w:rsidSect="005C2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328B2"/>
    <w:rsid w:val="00242D69"/>
    <w:rsid w:val="0025264A"/>
    <w:rsid w:val="002600EC"/>
    <w:rsid w:val="0027502D"/>
    <w:rsid w:val="002A1A2C"/>
    <w:rsid w:val="002D5E3B"/>
    <w:rsid w:val="002E1248"/>
    <w:rsid w:val="0030394A"/>
    <w:rsid w:val="00314025"/>
    <w:rsid w:val="00333ACF"/>
    <w:rsid w:val="003519F1"/>
    <w:rsid w:val="003565A8"/>
    <w:rsid w:val="00364B4C"/>
    <w:rsid w:val="00367A89"/>
    <w:rsid w:val="00376965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23C3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B448D0"/>
    <w:rsid w:val="00B7769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DE1832"/>
    <w:rsid w:val="00E06313"/>
    <w:rsid w:val="00E26DB5"/>
    <w:rsid w:val="00E600F8"/>
    <w:rsid w:val="00E96100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5</cp:revision>
  <dcterms:created xsi:type="dcterms:W3CDTF">2013-10-13T08:20:00Z</dcterms:created>
  <dcterms:modified xsi:type="dcterms:W3CDTF">2013-10-13T08:44:00Z</dcterms:modified>
</cp:coreProperties>
</file>